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DA" w:rsidRDefault="002C4BB5" w:rsidP="00B80983">
      <w:pPr>
        <w:pStyle w:val="Rtitle"/>
      </w:pPr>
      <w:r>
        <w:t>Matters arising from internal audit work completed between 31 March and 30 June 2018</w:t>
      </w:r>
    </w:p>
    <w:p w:rsidR="00F02DC5" w:rsidRPr="00951213" w:rsidRDefault="002C4BB5" w:rsidP="00951213">
      <w:pPr>
        <w:pStyle w:val="Rheading"/>
      </w:pPr>
      <w:r>
        <w:t>Introduction</w:t>
      </w:r>
    </w:p>
    <w:p w:rsidR="00873C5A" w:rsidRPr="00451FB1" w:rsidRDefault="002C4BB5" w:rsidP="00C115E4">
      <w:pPr>
        <w:pStyle w:val="Rparagraph"/>
        <w:jc w:val="both"/>
      </w:pPr>
      <w:r w:rsidRPr="00DC3125">
        <w:rPr>
          <w:rFonts w:cs="Arial"/>
          <w:szCs w:val="24"/>
        </w:rPr>
        <w:t xml:space="preserve">This report highlights </w:t>
      </w:r>
      <w:r>
        <w:rPr>
          <w:rFonts w:cs="Arial"/>
          <w:szCs w:val="24"/>
        </w:rPr>
        <w:t>the</w:t>
      </w:r>
      <w:r w:rsidRPr="00DC3125">
        <w:rPr>
          <w:rFonts w:cs="Arial"/>
          <w:szCs w:val="24"/>
        </w:rPr>
        <w:t xml:space="preserve"> issues that the Audit</w:t>
      </w:r>
      <w:r>
        <w:rPr>
          <w:rFonts w:cs="Arial"/>
          <w:szCs w:val="24"/>
        </w:rPr>
        <w:t>, Risk</w:t>
      </w:r>
      <w:r w:rsidRPr="00DC3125">
        <w:rPr>
          <w:rFonts w:cs="Arial"/>
          <w:szCs w:val="24"/>
        </w:rPr>
        <w:t xml:space="preserve"> and Governance Committee should be aware of in fulfilling its role of providing independent oversight of the adequacy of the council's governance, risk management and internal control framework. It </w:t>
      </w:r>
      <w:r>
        <w:rPr>
          <w:rFonts w:cs="Arial"/>
          <w:szCs w:val="24"/>
        </w:rPr>
        <w:t>sets out the issues arising from</w:t>
      </w:r>
      <w:r w:rsidRPr="00DC3125">
        <w:rPr>
          <w:rFonts w:cs="Arial"/>
          <w:szCs w:val="24"/>
        </w:rPr>
        <w:t xml:space="preserve"> the work undertaken during the </w:t>
      </w:r>
      <w:r>
        <w:rPr>
          <w:rFonts w:cs="Arial"/>
          <w:szCs w:val="24"/>
        </w:rPr>
        <w:t xml:space="preserve">period </w:t>
      </w:r>
      <w:r w:rsidRPr="00DC3125">
        <w:rPr>
          <w:rFonts w:cs="Arial"/>
          <w:szCs w:val="24"/>
        </w:rPr>
        <w:t xml:space="preserve">to </w:t>
      </w:r>
      <w:r>
        <w:rPr>
          <w:rFonts w:cs="Arial"/>
          <w:szCs w:val="24"/>
        </w:rPr>
        <w:t xml:space="preserve">30 June 2018 </w:t>
      </w:r>
      <w:r w:rsidRPr="00DC3125">
        <w:rPr>
          <w:rFonts w:cs="Arial"/>
          <w:szCs w:val="24"/>
        </w:rPr>
        <w:t>by the Internal Audit Service under the audit plan</w:t>
      </w:r>
      <w:r>
        <w:rPr>
          <w:rFonts w:cs="Arial"/>
          <w:szCs w:val="24"/>
        </w:rPr>
        <w:t>s</w:t>
      </w:r>
      <w:r w:rsidRPr="00DC3125">
        <w:rPr>
          <w:rFonts w:cs="Arial"/>
          <w:szCs w:val="24"/>
        </w:rPr>
        <w:t xml:space="preserve"> for 201</w:t>
      </w:r>
      <w:r>
        <w:rPr>
          <w:rFonts w:cs="Arial"/>
          <w:szCs w:val="24"/>
        </w:rPr>
        <w:t>7/18 and 2018/19.</w:t>
      </w:r>
    </w:p>
    <w:p w:rsidR="00A23158" w:rsidRDefault="002C4BB5" w:rsidP="00951213">
      <w:pPr>
        <w:pStyle w:val="Rheading"/>
      </w:pPr>
      <w:r>
        <w:t>The assurance now available to the committee for 2017/18</w:t>
      </w:r>
    </w:p>
    <w:p w:rsidR="002E5134" w:rsidRDefault="002C4BB5" w:rsidP="00C115E4">
      <w:pPr>
        <w:pStyle w:val="Rparagraph"/>
        <w:jc w:val="both"/>
      </w:pPr>
      <w:r w:rsidRPr="007458C3">
        <w:rPr>
          <w:rFonts w:cs="Arial"/>
          <w:szCs w:val="24"/>
        </w:rPr>
        <w:t xml:space="preserve">A summary of all the assurance we have provided during the year to the end of </w:t>
      </w:r>
      <w:r w:rsidRPr="00451FB1">
        <w:rPr>
          <w:rFonts w:cs="Arial"/>
          <w:szCs w:val="24"/>
        </w:rPr>
        <w:t xml:space="preserve">June </w:t>
      </w:r>
      <w:r w:rsidRPr="007458C3">
        <w:rPr>
          <w:rFonts w:cs="Arial"/>
          <w:szCs w:val="24"/>
        </w:rPr>
        <w:t>2018 is set out in the table below</w:t>
      </w:r>
      <w:r>
        <w:rPr>
          <w:rFonts w:cs="Arial"/>
          <w:szCs w:val="24"/>
        </w:rPr>
        <w:t>, including</w:t>
      </w:r>
      <w:r w:rsidRPr="007458C3">
        <w:rPr>
          <w:rFonts w:cs="Arial"/>
          <w:szCs w:val="24"/>
        </w:rPr>
        <w:t xml:space="preserve"> each internal audit assignment directed to providing controls assurance</w:t>
      </w:r>
      <w:r>
        <w:rPr>
          <w:rFonts w:cs="Arial"/>
          <w:szCs w:val="24"/>
        </w:rPr>
        <w:t>. The headline figures for 2017/18 reported at the last meeting of this committee the 2016/17 position are included for comparison. This now completes the audit plan for 2017/18, and the audits still being finalised have been added to the plan for 2018/19.</w:t>
      </w:r>
    </w:p>
    <w:tbl>
      <w:tblPr>
        <w:tblStyle w:val="TableGrid"/>
        <w:tblW w:w="8647" w:type="dxa"/>
        <w:tblInd w:w="562" w:type="dxa"/>
        <w:tblLayout w:type="fixed"/>
        <w:tblLook w:val="04A0" w:firstRow="1" w:lastRow="0" w:firstColumn="1" w:lastColumn="0" w:noHBand="0" w:noVBand="1"/>
      </w:tblPr>
      <w:tblGrid>
        <w:gridCol w:w="3969"/>
        <w:gridCol w:w="851"/>
        <w:gridCol w:w="709"/>
        <w:gridCol w:w="1417"/>
        <w:gridCol w:w="992"/>
        <w:gridCol w:w="709"/>
      </w:tblGrid>
      <w:tr w:rsidR="0045248C" w:rsidTr="002228FD">
        <w:tc>
          <w:tcPr>
            <w:tcW w:w="3969" w:type="dxa"/>
            <w:vMerge w:val="restart"/>
            <w:tcBorders>
              <w:top w:val="single" w:sz="4" w:space="0" w:color="auto"/>
              <w:left w:val="single" w:sz="4" w:space="0" w:color="auto"/>
            </w:tcBorders>
          </w:tcPr>
          <w:p w:rsidR="00AB149C" w:rsidRDefault="00C115E4" w:rsidP="002228FD">
            <w:pPr>
              <w:tabs>
                <w:tab w:val="left" w:pos="284"/>
              </w:tabs>
              <w:spacing w:before="40" w:after="40"/>
              <w:rPr>
                <w:rFonts w:ascii="Arial" w:hAnsi="Arial" w:cs="Arial"/>
                <w:b/>
                <w:sz w:val="22"/>
                <w:szCs w:val="22"/>
              </w:rPr>
            </w:pPr>
          </w:p>
          <w:p w:rsidR="00887F28" w:rsidRPr="00AB149C" w:rsidRDefault="002C4BB5" w:rsidP="002228FD">
            <w:pPr>
              <w:tabs>
                <w:tab w:val="left" w:pos="284"/>
              </w:tabs>
              <w:spacing w:before="40" w:after="40"/>
              <w:rPr>
                <w:rFonts w:ascii="Arial" w:hAnsi="Arial" w:cs="Arial"/>
                <w:b/>
                <w:sz w:val="22"/>
                <w:szCs w:val="22"/>
              </w:rPr>
            </w:pPr>
            <w:r w:rsidRPr="00AB149C">
              <w:rPr>
                <w:rFonts w:ascii="Arial" w:hAnsi="Arial" w:cs="Arial"/>
                <w:b/>
                <w:sz w:val="22"/>
                <w:szCs w:val="22"/>
              </w:rPr>
              <w:t>2017/18 assignments relating to:</w:t>
            </w:r>
          </w:p>
        </w:tc>
        <w:tc>
          <w:tcPr>
            <w:tcW w:w="851" w:type="dxa"/>
            <w:vMerge w:val="restart"/>
          </w:tcPr>
          <w:p w:rsidR="00AB149C" w:rsidRDefault="00C115E4" w:rsidP="002228FD">
            <w:pPr>
              <w:tabs>
                <w:tab w:val="left" w:pos="284"/>
              </w:tabs>
              <w:spacing w:before="40" w:after="40"/>
              <w:jc w:val="center"/>
              <w:rPr>
                <w:rFonts w:ascii="Arial" w:hAnsi="Arial" w:cs="Arial"/>
                <w:b/>
                <w:sz w:val="22"/>
                <w:szCs w:val="22"/>
              </w:rPr>
            </w:pPr>
          </w:p>
          <w:p w:rsidR="00887F28" w:rsidRPr="00AB149C" w:rsidRDefault="002C4BB5" w:rsidP="002228FD">
            <w:pPr>
              <w:tabs>
                <w:tab w:val="left" w:pos="284"/>
              </w:tabs>
              <w:spacing w:before="40" w:after="40"/>
              <w:jc w:val="center"/>
              <w:rPr>
                <w:rFonts w:ascii="Arial" w:hAnsi="Arial" w:cs="Arial"/>
                <w:b/>
                <w:sz w:val="22"/>
                <w:szCs w:val="22"/>
              </w:rPr>
            </w:pPr>
            <w:r w:rsidRPr="00AB149C">
              <w:rPr>
                <w:rFonts w:ascii="Arial" w:hAnsi="Arial" w:cs="Arial"/>
                <w:b/>
                <w:sz w:val="22"/>
                <w:szCs w:val="22"/>
              </w:rPr>
              <w:t>Total</w:t>
            </w:r>
          </w:p>
        </w:tc>
        <w:tc>
          <w:tcPr>
            <w:tcW w:w="3827" w:type="dxa"/>
            <w:gridSpan w:val="4"/>
          </w:tcPr>
          <w:p w:rsidR="00887F28" w:rsidRPr="00AB149C" w:rsidRDefault="002C4BB5" w:rsidP="002228FD">
            <w:pPr>
              <w:tabs>
                <w:tab w:val="left" w:pos="284"/>
              </w:tabs>
              <w:spacing w:before="40" w:after="40"/>
              <w:jc w:val="center"/>
              <w:rPr>
                <w:rFonts w:ascii="Arial" w:hAnsi="Arial" w:cs="Arial"/>
                <w:b/>
                <w:sz w:val="22"/>
                <w:szCs w:val="22"/>
              </w:rPr>
            </w:pPr>
            <w:r w:rsidRPr="00AB149C">
              <w:rPr>
                <w:rFonts w:ascii="Arial" w:hAnsi="Arial" w:cs="Arial"/>
                <w:b/>
                <w:sz w:val="22"/>
                <w:szCs w:val="22"/>
              </w:rPr>
              <w:t>Assurance</w:t>
            </w:r>
          </w:p>
        </w:tc>
      </w:tr>
      <w:tr w:rsidR="0045248C" w:rsidTr="002228FD">
        <w:trPr>
          <w:trHeight w:val="217"/>
        </w:trPr>
        <w:tc>
          <w:tcPr>
            <w:tcW w:w="3969" w:type="dxa"/>
            <w:vMerge/>
            <w:tcBorders>
              <w:left w:val="single" w:sz="4" w:space="0" w:color="auto"/>
            </w:tcBorders>
          </w:tcPr>
          <w:p w:rsidR="00887F28" w:rsidRPr="00AB149C" w:rsidRDefault="00C115E4" w:rsidP="002228FD">
            <w:pPr>
              <w:tabs>
                <w:tab w:val="left" w:pos="284"/>
              </w:tabs>
              <w:spacing w:before="40" w:after="40"/>
              <w:rPr>
                <w:rFonts w:ascii="Arial" w:hAnsi="Arial" w:cs="Arial"/>
                <w:b/>
                <w:sz w:val="22"/>
                <w:szCs w:val="22"/>
              </w:rPr>
            </w:pPr>
          </w:p>
        </w:tc>
        <w:tc>
          <w:tcPr>
            <w:tcW w:w="851" w:type="dxa"/>
            <w:vMerge/>
          </w:tcPr>
          <w:p w:rsidR="00887F28" w:rsidRPr="00AB149C" w:rsidRDefault="00C115E4" w:rsidP="002228FD">
            <w:pPr>
              <w:tabs>
                <w:tab w:val="left" w:pos="284"/>
              </w:tabs>
              <w:spacing w:before="40" w:after="40"/>
              <w:jc w:val="center"/>
              <w:rPr>
                <w:rFonts w:ascii="Arial" w:hAnsi="Arial" w:cs="Arial"/>
                <w:b/>
                <w:sz w:val="22"/>
                <w:szCs w:val="22"/>
              </w:rPr>
            </w:pPr>
          </w:p>
        </w:tc>
        <w:tc>
          <w:tcPr>
            <w:tcW w:w="709" w:type="dxa"/>
            <w:tcMar>
              <w:left w:w="57" w:type="dxa"/>
              <w:right w:w="57" w:type="dxa"/>
            </w:tcMar>
          </w:tcPr>
          <w:p w:rsidR="00887F28" w:rsidRPr="00AB149C" w:rsidRDefault="002C4BB5" w:rsidP="002228FD">
            <w:pPr>
              <w:tabs>
                <w:tab w:val="left" w:pos="284"/>
              </w:tabs>
              <w:spacing w:before="40" w:after="40"/>
              <w:jc w:val="center"/>
              <w:rPr>
                <w:rFonts w:ascii="Arial" w:hAnsi="Arial" w:cs="Arial"/>
                <w:b/>
                <w:sz w:val="22"/>
                <w:szCs w:val="22"/>
              </w:rPr>
            </w:pPr>
            <w:r w:rsidRPr="00AB149C">
              <w:rPr>
                <w:rFonts w:ascii="Arial" w:hAnsi="Arial" w:cs="Arial"/>
                <w:b/>
                <w:sz w:val="22"/>
                <w:szCs w:val="22"/>
              </w:rPr>
              <w:t>Full</w:t>
            </w:r>
          </w:p>
        </w:tc>
        <w:tc>
          <w:tcPr>
            <w:tcW w:w="1417" w:type="dxa"/>
            <w:tcMar>
              <w:left w:w="57" w:type="dxa"/>
              <w:right w:w="57" w:type="dxa"/>
            </w:tcMar>
          </w:tcPr>
          <w:p w:rsidR="00887F28" w:rsidRPr="00AB149C" w:rsidRDefault="002C4BB5" w:rsidP="002228FD">
            <w:pPr>
              <w:tabs>
                <w:tab w:val="left" w:pos="284"/>
              </w:tabs>
              <w:spacing w:before="40" w:after="40"/>
              <w:jc w:val="center"/>
              <w:rPr>
                <w:rFonts w:ascii="Arial" w:hAnsi="Arial" w:cs="Arial"/>
                <w:b/>
                <w:sz w:val="22"/>
                <w:szCs w:val="22"/>
              </w:rPr>
            </w:pPr>
            <w:r w:rsidRPr="00AB149C">
              <w:rPr>
                <w:rFonts w:ascii="Arial" w:hAnsi="Arial" w:cs="Arial"/>
                <w:b/>
                <w:sz w:val="22"/>
                <w:szCs w:val="22"/>
              </w:rPr>
              <w:t>Substantial</w:t>
            </w:r>
          </w:p>
        </w:tc>
        <w:tc>
          <w:tcPr>
            <w:tcW w:w="992" w:type="dxa"/>
            <w:tcMar>
              <w:left w:w="57" w:type="dxa"/>
              <w:right w:w="57" w:type="dxa"/>
            </w:tcMar>
          </w:tcPr>
          <w:p w:rsidR="00887F28" w:rsidRPr="00AB149C" w:rsidRDefault="002C4BB5" w:rsidP="002228FD">
            <w:pPr>
              <w:tabs>
                <w:tab w:val="left" w:pos="284"/>
              </w:tabs>
              <w:spacing w:before="40" w:after="40"/>
              <w:jc w:val="center"/>
              <w:rPr>
                <w:rFonts w:ascii="Arial" w:hAnsi="Arial" w:cs="Arial"/>
                <w:b/>
                <w:sz w:val="22"/>
                <w:szCs w:val="22"/>
              </w:rPr>
            </w:pPr>
            <w:r w:rsidRPr="00AB149C">
              <w:rPr>
                <w:rFonts w:ascii="Arial" w:hAnsi="Arial" w:cs="Arial"/>
                <w:b/>
                <w:sz w:val="22"/>
                <w:szCs w:val="22"/>
              </w:rPr>
              <w:t>Limited</w:t>
            </w:r>
          </w:p>
        </w:tc>
        <w:tc>
          <w:tcPr>
            <w:tcW w:w="709" w:type="dxa"/>
            <w:tcMar>
              <w:left w:w="57" w:type="dxa"/>
              <w:right w:w="57" w:type="dxa"/>
            </w:tcMar>
          </w:tcPr>
          <w:p w:rsidR="00887F28" w:rsidRPr="00AB149C" w:rsidRDefault="002C4BB5" w:rsidP="002228FD">
            <w:pPr>
              <w:tabs>
                <w:tab w:val="left" w:pos="284"/>
              </w:tabs>
              <w:spacing w:before="40" w:after="40"/>
              <w:jc w:val="center"/>
              <w:rPr>
                <w:rFonts w:ascii="Arial" w:hAnsi="Arial" w:cs="Arial"/>
                <w:b/>
                <w:sz w:val="22"/>
                <w:szCs w:val="22"/>
              </w:rPr>
            </w:pPr>
            <w:r w:rsidRPr="00AB149C">
              <w:rPr>
                <w:rFonts w:ascii="Arial" w:hAnsi="Arial" w:cs="Arial"/>
                <w:b/>
                <w:sz w:val="22"/>
                <w:szCs w:val="22"/>
              </w:rPr>
              <w:t>None</w:t>
            </w:r>
          </w:p>
        </w:tc>
      </w:tr>
      <w:tr w:rsidR="0045248C" w:rsidTr="002228FD">
        <w:tc>
          <w:tcPr>
            <w:tcW w:w="3969" w:type="dxa"/>
          </w:tcPr>
          <w:p w:rsidR="00887F28" w:rsidRPr="00AB149C" w:rsidRDefault="002C4BB5" w:rsidP="002228FD">
            <w:pPr>
              <w:tabs>
                <w:tab w:val="left" w:pos="284"/>
              </w:tabs>
              <w:spacing w:before="40" w:after="40"/>
              <w:rPr>
                <w:rFonts w:ascii="Arial" w:hAnsi="Arial" w:cs="Arial"/>
                <w:sz w:val="22"/>
                <w:szCs w:val="22"/>
              </w:rPr>
            </w:pPr>
            <w:r w:rsidRPr="00AB149C">
              <w:rPr>
                <w:rFonts w:ascii="Arial" w:hAnsi="Arial" w:cs="Arial"/>
                <w:sz w:val="22"/>
                <w:szCs w:val="22"/>
              </w:rPr>
              <w:t>Governance and democratic oversight</w:t>
            </w:r>
          </w:p>
        </w:tc>
        <w:tc>
          <w:tcPr>
            <w:tcW w:w="851" w:type="dxa"/>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w:t>
            </w:r>
          </w:p>
        </w:tc>
        <w:tc>
          <w:tcPr>
            <w:tcW w:w="709" w:type="dxa"/>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w:t>
            </w:r>
          </w:p>
        </w:tc>
        <w:tc>
          <w:tcPr>
            <w:tcW w:w="1417" w:type="dxa"/>
            <w:vAlign w:val="center"/>
          </w:tcPr>
          <w:p w:rsidR="00887F28" w:rsidRPr="00AB149C" w:rsidRDefault="00C115E4" w:rsidP="002228FD">
            <w:pPr>
              <w:spacing w:before="40" w:after="40"/>
              <w:jc w:val="center"/>
              <w:rPr>
                <w:rFonts w:ascii="Arial" w:hAnsi="Arial" w:cs="Arial"/>
                <w:sz w:val="22"/>
                <w:szCs w:val="22"/>
              </w:rPr>
            </w:pPr>
          </w:p>
        </w:tc>
        <w:tc>
          <w:tcPr>
            <w:tcW w:w="992" w:type="dxa"/>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w:t>
            </w:r>
          </w:p>
        </w:tc>
        <w:tc>
          <w:tcPr>
            <w:tcW w:w="709" w:type="dxa"/>
            <w:vAlign w:val="center"/>
          </w:tcPr>
          <w:p w:rsidR="00887F28" w:rsidRPr="00AB149C" w:rsidRDefault="00C115E4" w:rsidP="002228FD">
            <w:pPr>
              <w:spacing w:before="40" w:after="40"/>
              <w:jc w:val="center"/>
              <w:rPr>
                <w:rFonts w:ascii="Arial" w:hAnsi="Arial" w:cs="Arial"/>
                <w:sz w:val="22"/>
                <w:szCs w:val="22"/>
              </w:rPr>
            </w:pPr>
          </w:p>
        </w:tc>
      </w:tr>
      <w:tr w:rsidR="0045248C" w:rsidTr="002228FD">
        <w:tc>
          <w:tcPr>
            <w:tcW w:w="3969" w:type="dxa"/>
          </w:tcPr>
          <w:p w:rsidR="00887F28" w:rsidRPr="00AB149C" w:rsidRDefault="002C4BB5" w:rsidP="002228FD">
            <w:pPr>
              <w:tabs>
                <w:tab w:val="left" w:pos="284"/>
              </w:tabs>
              <w:spacing w:before="40" w:after="40"/>
              <w:rPr>
                <w:rFonts w:ascii="Arial" w:hAnsi="Arial" w:cs="Arial"/>
                <w:sz w:val="22"/>
                <w:szCs w:val="22"/>
              </w:rPr>
            </w:pPr>
            <w:r w:rsidRPr="00AB149C">
              <w:rPr>
                <w:rFonts w:ascii="Arial" w:hAnsi="Arial" w:cs="Arial"/>
                <w:sz w:val="22"/>
                <w:szCs w:val="22"/>
              </w:rPr>
              <w:t xml:space="preserve">Business effectiveness </w:t>
            </w:r>
          </w:p>
        </w:tc>
        <w:tc>
          <w:tcPr>
            <w:tcW w:w="851" w:type="dxa"/>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5</w:t>
            </w:r>
          </w:p>
        </w:tc>
        <w:tc>
          <w:tcPr>
            <w:tcW w:w="709" w:type="dxa"/>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w:t>
            </w:r>
          </w:p>
        </w:tc>
        <w:tc>
          <w:tcPr>
            <w:tcW w:w="1417" w:type="dxa"/>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3</w:t>
            </w:r>
          </w:p>
        </w:tc>
        <w:tc>
          <w:tcPr>
            <w:tcW w:w="992" w:type="dxa"/>
            <w:vAlign w:val="center"/>
          </w:tcPr>
          <w:p w:rsidR="00887F28" w:rsidRPr="00AB149C" w:rsidRDefault="00C115E4" w:rsidP="002228FD">
            <w:pPr>
              <w:spacing w:before="40" w:after="40"/>
              <w:jc w:val="center"/>
              <w:rPr>
                <w:rFonts w:ascii="Arial" w:hAnsi="Arial" w:cs="Arial"/>
                <w:sz w:val="22"/>
                <w:szCs w:val="22"/>
              </w:rPr>
            </w:pPr>
          </w:p>
        </w:tc>
        <w:tc>
          <w:tcPr>
            <w:tcW w:w="709" w:type="dxa"/>
            <w:vAlign w:val="center"/>
          </w:tcPr>
          <w:p w:rsidR="00887F28" w:rsidRPr="00AB149C" w:rsidRDefault="00C115E4" w:rsidP="002228FD">
            <w:pPr>
              <w:spacing w:before="40" w:after="40"/>
              <w:jc w:val="center"/>
              <w:rPr>
                <w:rFonts w:ascii="Arial" w:hAnsi="Arial" w:cs="Arial"/>
                <w:sz w:val="22"/>
                <w:szCs w:val="22"/>
              </w:rPr>
            </w:pPr>
          </w:p>
        </w:tc>
      </w:tr>
      <w:tr w:rsidR="0045248C" w:rsidTr="002228FD">
        <w:tc>
          <w:tcPr>
            <w:tcW w:w="3969" w:type="dxa"/>
            <w:tcBorders>
              <w:bottom w:val="single" w:sz="4" w:space="0" w:color="auto"/>
            </w:tcBorders>
          </w:tcPr>
          <w:p w:rsidR="00887F28" w:rsidRPr="00AB149C" w:rsidRDefault="002C4BB5" w:rsidP="002228FD">
            <w:pPr>
              <w:tabs>
                <w:tab w:val="left" w:pos="284"/>
              </w:tabs>
              <w:spacing w:before="40" w:after="40"/>
              <w:rPr>
                <w:rFonts w:ascii="Arial" w:hAnsi="Arial" w:cs="Arial"/>
                <w:sz w:val="22"/>
                <w:szCs w:val="22"/>
              </w:rPr>
            </w:pPr>
            <w:r w:rsidRPr="00AB149C">
              <w:rPr>
                <w:rFonts w:ascii="Arial" w:hAnsi="Arial" w:cs="Arial"/>
                <w:sz w:val="22"/>
                <w:szCs w:val="22"/>
              </w:rPr>
              <w:t>Service delivery</w:t>
            </w:r>
          </w:p>
        </w:tc>
        <w:tc>
          <w:tcPr>
            <w:tcW w:w="851"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25</w:t>
            </w:r>
          </w:p>
        </w:tc>
        <w:tc>
          <w:tcPr>
            <w:tcW w:w="709" w:type="dxa"/>
            <w:tcBorders>
              <w:bottom w:val="single" w:sz="4" w:space="0" w:color="auto"/>
            </w:tcBorders>
            <w:vAlign w:val="center"/>
          </w:tcPr>
          <w:p w:rsidR="00887F28" w:rsidRPr="00AB149C" w:rsidRDefault="00C115E4" w:rsidP="002228FD">
            <w:pPr>
              <w:spacing w:before="40" w:after="40"/>
              <w:jc w:val="center"/>
              <w:rPr>
                <w:rFonts w:ascii="Arial" w:hAnsi="Arial" w:cs="Arial"/>
                <w:sz w:val="22"/>
                <w:szCs w:val="22"/>
              </w:rPr>
            </w:pPr>
          </w:p>
        </w:tc>
        <w:tc>
          <w:tcPr>
            <w:tcW w:w="1417" w:type="dxa"/>
            <w:tcBorders>
              <w:bottom w:val="single" w:sz="4" w:space="0" w:color="auto"/>
            </w:tcBorders>
            <w:vAlign w:val="center"/>
          </w:tcPr>
          <w:p w:rsidR="00887F28" w:rsidRPr="00AB149C" w:rsidRDefault="002C4BB5" w:rsidP="00866838">
            <w:pPr>
              <w:spacing w:before="40" w:after="40"/>
              <w:jc w:val="center"/>
              <w:rPr>
                <w:rFonts w:ascii="Arial" w:hAnsi="Arial" w:cs="Arial"/>
                <w:sz w:val="22"/>
                <w:szCs w:val="22"/>
              </w:rPr>
            </w:pPr>
            <w:r w:rsidRPr="00AB149C">
              <w:rPr>
                <w:rFonts w:ascii="Arial" w:hAnsi="Arial" w:cs="Arial"/>
                <w:sz w:val="22"/>
                <w:szCs w:val="22"/>
              </w:rPr>
              <w:t>16</w:t>
            </w:r>
          </w:p>
        </w:tc>
        <w:tc>
          <w:tcPr>
            <w:tcW w:w="992"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9</w:t>
            </w:r>
          </w:p>
        </w:tc>
        <w:tc>
          <w:tcPr>
            <w:tcW w:w="709" w:type="dxa"/>
            <w:tcBorders>
              <w:bottom w:val="single" w:sz="4" w:space="0" w:color="auto"/>
            </w:tcBorders>
            <w:vAlign w:val="center"/>
          </w:tcPr>
          <w:p w:rsidR="00887F28" w:rsidRPr="00AB149C" w:rsidRDefault="00C115E4" w:rsidP="002228FD">
            <w:pPr>
              <w:spacing w:before="40" w:after="40"/>
              <w:jc w:val="center"/>
              <w:rPr>
                <w:rFonts w:ascii="Arial" w:hAnsi="Arial" w:cs="Arial"/>
                <w:sz w:val="22"/>
                <w:szCs w:val="22"/>
              </w:rPr>
            </w:pPr>
          </w:p>
        </w:tc>
      </w:tr>
      <w:tr w:rsidR="0045248C" w:rsidTr="002228FD">
        <w:tc>
          <w:tcPr>
            <w:tcW w:w="3969" w:type="dxa"/>
            <w:tcBorders>
              <w:bottom w:val="single" w:sz="4" w:space="0" w:color="auto"/>
            </w:tcBorders>
          </w:tcPr>
          <w:p w:rsidR="00887F28" w:rsidRPr="00AB149C" w:rsidRDefault="002C4BB5" w:rsidP="002228FD">
            <w:pPr>
              <w:tabs>
                <w:tab w:val="left" w:pos="284"/>
              </w:tabs>
              <w:spacing w:before="40" w:after="40"/>
              <w:rPr>
                <w:rFonts w:ascii="Arial" w:hAnsi="Arial" w:cs="Arial"/>
                <w:sz w:val="22"/>
                <w:szCs w:val="22"/>
              </w:rPr>
            </w:pPr>
            <w:r w:rsidRPr="00AB149C">
              <w:rPr>
                <w:rFonts w:ascii="Arial" w:hAnsi="Arial" w:cs="Arial"/>
                <w:sz w:val="22"/>
                <w:szCs w:val="22"/>
              </w:rPr>
              <w:t>Service support</w:t>
            </w:r>
          </w:p>
        </w:tc>
        <w:tc>
          <w:tcPr>
            <w:tcW w:w="851"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w:t>
            </w:r>
          </w:p>
        </w:tc>
        <w:tc>
          <w:tcPr>
            <w:tcW w:w="709" w:type="dxa"/>
            <w:tcBorders>
              <w:bottom w:val="single" w:sz="4" w:space="0" w:color="auto"/>
            </w:tcBorders>
            <w:vAlign w:val="center"/>
          </w:tcPr>
          <w:p w:rsidR="00887F28" w:rsidRPr="00AB149C" w:rsidRDefault="00C115E4" w:rsidP="002228FD">
            <w:pPr>
              <w:spacing w:before="40" w:after="40"/>
              <w:jc w:val="center"/>
              <w:rPr>
                <w:rFonts w:ascii="Arial" w:hAnsi="Arial" w:cs="Arial"/>
                <w:sz w:val="22"/>
                <w:szCs w:val="22"/>
              </w:rPr>
            </w:pPr>
          </w:p>
        </w:tc>
        <w:tc>
          <w:tcPr>
            <w:tcW w:w="1417"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w:t>
            </w:r>
          </w:p>
        </w:tc>
        <w:tc>
          <w:tcPr>
            <w:tcW w:w="992" w:type="dxa"/>
            <w:tcBorders>
              <w:bottom w:val="single" w:sz="4" w:space="0" w:color="auto"/>
            </w:tcBorders>
            <w:vAlign w:val="center"/>
          </w:tcPr>
          <w:p w:rsidR="00887F28" w:rsidRPr="00AB149C" w:rsidRDefault="00C115E4" w:rsidP="002228FD">
            <w:pPr>
              <w:spacing w:before="40" w:after="40"/>
              <w:jc w:val="center"/>
              <w:rPr>
                <w:rFonts w:ascii="Arial" w:hAnsi="Arial" w:cs="Arial"/>
                <w:sz w:val="22"/>
                <w:szCs w:val="22"/>
              </w:rPr>
            </w:pPr>
          </w:p>
        </w:tc>
        <w:tc>
          <w:tcPr>
            <w:tcW w:w="709" w:type="dxa"/>
            <w:tcBorders>
              <w:bottom w:val="single" w:sz="4" w:space="0" w:color="auto"/>
            </w:tcBorders>
            <w:vAlign w:val="center"/>
          </w:tcPr>
          <w:p w:rsidR="00887F28" w:rsidRPr="00AB149C" w:rsidRDefault="00C115E4" w:rsidP="002228FD">
            <w:pPr>
              <w:spacing w:before="40" w:after="40"/>
              <w:jc w:val="center"/>
              <w:rPr>
                <w:rFonts w:ascii="Arial" w:hAnsi="Arial" w:cs="Arial"/>
                <w:sz w:val="22"/>
                <w:szCs w:val="22"/>
              </w:rPr>
            </w:pPr>
          </w:p>
        </w:tc>
      </w:tr>
      <w:tr w:rsidR="0045248C" w:rsidTr="00AB149C">
        <w:tc>
          <w:tcPr>
            <w:tcW w:w="3969" w:type="dxa"/>
            <w:tcBorders>
              <w:bottom w:val="single" w:sz="4" w:space="0" w:color="auto"/>
            </w:tcBorders>
          </w:tcPr>
          <w:p w:rsidR="00887F28" w:rsidRPr="00AB149C" w:rsidRDefault="002C4BB5" w:rsidP="002228FD">
            <w:pPr>
              <w:tabs>
                <w:tab w:val="left" w:pos="284"/>
              </w:tabs>
              <w:spacing w:before="40" w:after="40"/>
              <w:rPr>
                <w:rFonts w:ascii="Arial" w:hAnsi="Arial" w:cs="Arial"/>
                <w:sz w:val="22"/>
                <w:szCs w:val="22"/>
              </w:rPr>
            </w:pPr>
            <w:r w:rsidRPr="00AB149C">
              <w:rPr>
                <w:rFonts w:ascii="Arial" w:hAnsi="Arial" w:cs="Arial"/>
                <w:sz w:val="22"/>
                <w:szCs w:val="22"/>
              </w:rPr>
              <w:t>Business processes</w:t>
            </w:r>
          </w:p>
        </w:tc>
        <w:tc>
          <w:tcPr>
            <w:tcW w:w="851"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17</w:t>
            </w:r>
          </w:p>
        </w:tc>
        <w:tc>
          <w:tcPr>
            <w:tcW w:w="709"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w:t>
            </w:r>
          </w:p>
        </w:tc>
        <w:tc>
          <w:tcPr>
            <w:tcW w:w="1417"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13</w:t>
            </w:r>
          </w:p>
        </w:tc>
        <w:tc>
          <w:tcPr>
            <w:tcW w:w="992" w:type="dxa"/>
            <w:tcBorders>
              <w:bottom w:val="sing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2</w:t>
            </w:r>
          </w:p>
        </w:tc>
        <w:tc>
          <w:tcPr>
            <w:tcW w:w="709" w:type="dxa"/>
            <w:tcBorders>
              <w:bottom w:val="single" w:sz="4" w:space="0" w:color="auto"/>
            </w:tcBorders>
            <w:vAlign w:val="center"/>
          </w:tcPr>
          <w:p w:rsidR="00887F28" w:rsidRPr="00AB149C" w:rsidRDefault="00C115E4" w:rsidP="002228FD">
            <w:pPr>
              <w:spacing w:before="40" w:after="40"/>
              <w:jc w:val="center"/>
              <w:rPr>
                <w:rFonts w:ascii="Arial" w:hAnsi="Arial" w:cs="Arial"/>
                <w:sz w:val="22"/>
                <w:szCs w:val="22"/>
              </w:rPr>
            </w:pPr>
          </w:p>
        </w:tc>
      </w:tr>
      <w:tr w:rsidR="0045248C" w:rsidTr="00AB149C">
        <w:tc>
          <w:tcPr>
            <w:tcW w:w="3969" w:type="dxa"/>
            <w:tcBorders>
              <w:bottom w:val="nil"/>
            </w:tcBorders>
          </w:tcPr>
          <w:p w:rsidR="00887F28" w:rsidRPr="00AB149C" w:rsidRDefault="002C4BB5" w:rsidP="00AB149C">
            <w:pPr>
              <w:tabs>
                <w:tab w:val="left" w:pos="284"/>
              </w:tabs>
              <w:spacing w:before="40" w:after="40"/>
              <w:rPr>
                <w:rFonts w:ascii="Arial" w:hAnsi="Arial" w:cs="Arial"/>
                <w:b/>
                <w:sz w:val="22"/>
                <w:szCs w:val="22"/>
              </w:rPr>
            </w:pPr>
            <w:r>
              <w:rPr>
                <w:rFonts w:ascii="Arial" w:hAnsi="Arial" w:cs="Arial"/>
                <w:b/>
                <w:sz w:val="22"/>
                <w:szCs w:val="22"/>
              </w:rPr>
              <w:t>2017/18 assignments: to</w:t>
            </w:r>
            <w:r w:rsidRPr="00AB149C">
              <w:rPr>
                <w:rFonts w:ascii="Arial" w:hAnsi="Arial" w:cs="Arial"/>
                <w:b/>
                <w:sz w:val="22"/>
                <w:szCs w:val="22"/>
              </w:rPr>
              <w:t xml:space="preserve">tal </w:t>
            </w:r>
          </w:p>
        </w:tc>
        <w:tc>
          <w:tcPr>
            <w:tcW w:w="851" w:type="dxa"/>
            <w:tcBorders>
              <w:bottom w:val="single" w:sz="4" w:space="0" w:color="auto"/>
            </w:tcBorders>
            <w:vAlign w:val="center"/>
          </w:tcPr>
          <w:p w:rsidR="00887F28" w:rsidRPr="00AB149C" w:rsidRDefault="002C4BB5" w:rsidP="002228FD">
            <w:pPr>
              <w:spacing w:before="40" w:after="40"/>
              <w:jc w:val="center"/>
              <w:rPr>
                <w:rFonts w:ascii="Arial" w:hAnsi="Arial" w:cs="Arial"/>
                <w:b/>
                <w:sz w:val="22"/>
                <w:szCs w:val="22"/>
              </w:rPr>
            </w:pPr>
            <w:r w:rsidRPr="00AB149C">
              <w:rPr>
                <w:rFonts w:ascii="Arial" w:hAnsi="Arial" w:cs="Arial"/>
                <w:b/>
                <w:sz w:val="22"/>
                <w:szCs w:val="22"/>
              </w:rPr>
              <w:t>51</w:t>
            </w:r>
          </w:p>
        </w:tc>
        <w:tc>
          <w:tcPr>
            <w:tcW w:w="709" w:type="dxa"/>
            <w:tcBorders>
              <w:bottom w:val="single" w:sz="4" w:space="0" w:color="auto"/>
            </w:tcBorders>
            <w:vAlign w:val="center"/>
          </w:tcPr>
          <w:p w:rsidR="00887F28" w:rsidRPr="00AB149C" w:rsidRDefault="002C4BB5" w:rsidP="002228FD">
            <w:pPr>
              <w:spacing w:before="40" w:after="40"/>
              <w:jc w:val="center"/>
              <w:rPr>
                <w:rFonts w:ascii="Arial" w:hAnsi="Arial" w:cs="Arial"/>
                <w:b/>
                <w:bCs/>
                <w:sz w:val="22"/>
                <w:szCs w:val="22"/>
              </w:rPr>
            </w:pPr>
            <w:r w:rsidRPr="00AB149C">
              <w:rPr>
                <w:rFonts w:ascii="Arial" w:hAnsi="Arial" w:cs="Arial"/>
                <w:b/>
                <w:bCs/>
                <w:sz w:val="22"/>
                <w:szCs w:val="22"/>
              </w:rPr>
              <w:t>5</w:t>
            </w:r>
          </w:p>
        </w:tc>
        <w:tc>
          <w:tcPr>
            <w:tcW w:w="1417" w:type="dxa"/>
            <w:tcBorders>
              <w:bottom w:val="single" w:sz="4" w:space="0" w:color="auto"/>
            </w:tcBorders>
            <w:vAlign w:val="center"/>
          </w:tcPr>
          <w:p w:rsidR="00887F28" w:rsidRPr="00AB149C" w:rsidRDefault="002C4BB5" w:rsidP="002228FD">
            <w:pPr>
              <w:spacing w:before="40" w:after="40"/>
              <w:jc w:val="center"/>
              <w:rPr>
                <w:rFonts w:ascii="Arial" w:hAnsi="Arial" w:cs="Arial"/>
                <w:b/>
                <w:bCs/>
                <w:sz w:val="22"/>
                <w:szCs w:val="22"/>
              </w:rPr>
            </w:pPr>
            <w:r w:rsidRPr="00AB149C">
              <w:rPr>
                <w:rFonts w:ascii="Arial" w:hAnsi="Arial" w:cs="Arial"/>
                <w:b/>
                <w:bCs/>
                <w:sz w:val="22"/>
                <w:szCs w:val="22"/>
              </w:rPr>
              <w:t>34</w:t>
            </w:r>
          </w:p>
        </w:tc>
        <w:tc>
          <w:tcPr>
            <w:tcW w:w="992" w:type="dxa"/>
            <w:tcBorders>
              <w:bottom w:val="single" w:sz="4" w:space="0" w:color="auto"/>
            </w:tcBorders>
            <w:vAlign w:val="center"/>
          </w:tcPr>
          <w:p w:rsidR="00887F28" w:rsidRPr="00AB149C" w:rsidRDefault="002C4BB5" w:rsidP="002228FD">
            <w:pPr>
              <w:spacing w:before="40" w:after="40"/>
              <w:jc w:val="center"/>
              <w:rPr>
                <w:rFonts w:ascii="Arial" w:hAnsi="Arial" w:cs="Arial"/>
                <w:b/>
                <w:bCs/>
                <w:sz w:val="22"/>
                <w:szCs w:val="22"/>
              </w:rPr>
            </w:pPr>
            <w:r w:rsidRPr="00AB149C">
              <w:rPr>
                <w:rFonts w:ascii="Arial" w:hAnsi="Arial" w:cs="Arial"/>
                <w:b/>
                <w:bCs/>
                <w:sz w:val="22"/>
                <w:szCs w:val="22"/>
              </w:rPr>
              <w:t>12</w:t>
            </w:r>
          </w:p>
        </w:tc>
        <w:tc>
          <w:tcPr>
            <w:tcW w:w="709" w:type="dxa"/>
            <w:tcBorders>
              <w:bottom w:val="single" w:sz="4" w:space="0" w:color="auto"/>
            </w:tcBorders>
            <w:vAlign w:val="center"/>
          </w:tcPr>
          <w:p w:rsidR="00887F28" w:rsidRPr="00AB149C" w:rsidRDefault="002C4BB5" w:rsidP="002228FD">
            <w:pPr>
              <w:spacing w:before="40" w:after="40"/>
              <w:jc w:val="center"/>
              <w:rPr>
                <w:rFonts w:ascii="Arial" w:hAnsi="Arial" w:cs="Arial"/>
                <w:b/>
                <w:bCs/>
                <w:sz w:val="22"/>
                <w:szCs w:val="22"/>
              </w:rPr>
            </w:pPr>
            <w:r w:rsidRPr="00AB149C">
              <w:rPr>
                <w:rFonts w:ascii="Arial" w:hAnsi="Arial" w:cs="Arial"/>
                <w:b/>
                <w:bCs/>
                <w:sz w:val="22"/>
                <w:szCs w:val="22"/>
              </w:rPr>
              <w:t>0</w:t>
            </w:r>
          </w:p>
        </w:tc>
      </w:tr>
      <w:tr w:rsidR="0045248C" w:rsidTr="00AB149C">
        <w:tc>
          <w:tcPr>
            <w:tcW w:w="3969" w:type="dxa"/>
            <w:tcBorders>
              <w:top w:val="nil"/>
              <w:bottom w:val="double" w:sz="4" w:space="0" w:color="auto"/>
            </w:tcBorders>
          </w:tcPr>
          <w:p w:rsidR="00887F28" w:rsidRPr="00AB149C" w:rsidRDefault="00C115E4" w:rsidP="002228FD">
            <w:pPr>
              <w:tabs>
                <w:tab w:val="left" w:pos="284"/>
              </w:tabs>
              <w:spacing w:before="40" w:after="40"/>
              <w:rPr>
                <w:rFonts w:ascii="Arial" w:hAnsi="Arial" w:cs="Arial"/>
                <w:b/>
                <w:sz w:val="22"/>
                <w:szCs w:val="22"/>
              </w:rPr>
            </w:pPr>
          </w:p>
        </w:tc>
        <w:tc>
          <w:tcPr>
            <w:tcW w:w="851" w:type="dxa"/>
            <w:tcBorders>
              <w:bottom w:val="double" w:sz="4" w:space="0" w:color="auto"/>
            </w:tcBorders>
            <w:vAlign w:val="center"/>
          </w:tcPr>
          <w:p w:rsidR="00887F28"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100%</w:t>
            </w:r>
          </w:p>
        </w:tc>
        <w:tc>
          <w:tcPr>
            <w:tcW w:w="709" w:type="dxa"/>
            <w:tcBorders>
              <w:bottom w:val="double" w:sz="4" w:space="0" w:color="auto"/>
            </w:tcBorders>
            <w:vAlign w:val="center"/>
          </w:tcPr>
          <w:p w:rsidR="00887F28"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10%</w:t>
            </w:r>
          </w:p>
        </w:tc>
        <w:tc>
          <w:tcPr>
            <w:tcW w:w="1417" w:type="dxa"/>
            <w:tcBorders>
              <w:bottom w:val="double" w:sz="4" w:space="0" w:color="auto"/>
            </w:tcBorders>
            <w:vAlign w:val="center"/>
          </w:tcPr>
          <w:p w:rsidR="00887F28"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67%</w:t>
            </w:r>
          </w:p>
        </w:tc>
        <w:tc>
          <w:tcPr>
            <w:tcW w:w="992" w:type="dxa"/>
            <w:tcBorders>
              <w:bottom w:val="double" w:sz="4" w:space="0" w:color="auto"/>
            </w:tcBorders>
            <w:vAlign w:val="center"/>
          </w:tcPr>
          <w:p w:rsidR="00887F28"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23%</w:t>
            </w:r>
          </w:p>
        </w:tc>
        <w:tc>
          <w:tcPr>
            <w:tcW w:w="709" w:type="dxa"/>
            <w:tcBorders>
              <w:bottom w:val="double" w:sz="4" w:space="0" w:color="auto"/>
            </w:tcBorders>
            <w:vAlign w:val="center"/>
          </w:tcPr>
          <w:p w:rsidR="00887F28"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w:t>
            </w:r>
          </w:p>
        </w:tc>
      </w:tr>
      <w:tr w:rsidR="0045248C" w:rsidTr="00FA7BAD">
        <w:tc>
          <w:tcPr>
            <w:tcW w:w="3969" w:type="dxa"/>
            <w:vMerge w:val="restart"/>
            <w:tcBorders>
              <w:top w:val="double" w:sz="4" w:space="0" w:color="auto"/>
            </w:tcBorders>
          </w:tcPr>
          <w:p w:rsidR="00772450" w:rsidRPr="00AB149C" w:rsidRDefault="002C4BB5" w:rsidP="002228FD">
            <w:pPr>
              <w:tabs>
                <w:tab w:val="left" w:pos="284"/>
              </w:tabs>
              <w:spacing w:before="40" w:after="40"/>
              <w:rPr>
                <w:rFonts w:ascii="Arial" w:hAnsi="Arial" w:cs="Arial"/>
                <w:b/>
                <w:sz w:val="22"/>
                <w:szCs w:val="22"/>
              </w:rPr>
            </w:pPr>
            <w:r w:rsidRPr="00AB149C">
              <w:rPr>
                <w:rFonts w:ascii="Arial" w:hAnsi="Arial" w:cs="Arial"/>
                <w:b/>
                <w:sz w:val="22"/>
                <w:szCs w:val="22"/>
              </w:rPr>
              <w:t>Status of 2017/18 assignments</w:t>
            </w:r>
            <w:r>
              <w:rPr>
                <w:rFonts w:ascii="Arial" w:hAnsi="Arial" w:cs="Arial"/>
                <w:b/>
                <w:sz w:val="22"/>
                <w:szCs w:val="22"/>
              </w:rPr>
              <w:t>: total</w:t>
            </w:r>
            <w:r w:rsidRPr="00AB149C">
              <w:rPr>
                <w:rFonts w:ascii="Arial" w:hAnsi="Arial" w:cs="Arial"/>
                <w:b/>
                <w:sz w:val="22"/>
                <w:szCs w:val="22"/>
              </w:rPr>
              <w:t xml:space="preserve"> as at 30 March 2018</w:t>
            </w:r>
          </w:p>
        </w:tc>
        <w:tc>
          <w:tcPr>
            <w:tcW w:w="851" w:type="dxa"/>
            <w:tcBorders>
              <w:top w:val="double" w:sz="4" w:space="0" w:color="auto"/>
              <w:bottom w:val="single" w:sz="4" w:space="0" w:color="auto"/>
            </w:tcBorders>
            <w:vAlign w:val="center"/>
          </w:tcPr>
          <w:p w:rsidR="00772450"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31</w:t>
            </w:r>
          </w:p>
        </w:tc>
        <w:tc>
          <w:tcPr>
            <w:tcW w:w="709" w:type="dxa"/>
            <w:tcBorders>
              <w:top w:val="double" w:sz="4" w:space="0" w:color="auto"/>
              <w:bottom w:val="sing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3</w:t>
            </w:r>
          </w:p>
        </w:tc>
        <w:tc>
          <w:tcPr>
            <w:tcW w:w="1417" w:type="dxa"/>
            <w:tcBorders>
              <w:top w:val="double" w:sz="4" w:space="0" w:color="auto"/>
              <w:bottom w:val="sing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21</w:t>
            </w:r>
          </w:p>
        </w:tc>
        <w:tc>
          <w:tcPr>
            <w:tcW w:w="992" w:type="dxa"/>
            <w:tcBorders>
              <w:top w:val="double" w:sz="4" w:space="0" w:color="auto"/>
              <w:bottom w:val="sing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7</w:t>
            </w:r>
          </w:p>
        </w:tc>
        <w:tc>
          <w:tcPr>
            <w:tcW w:w="709" w:type="dxa"/>
            <w:tcBorders>
              <w:top w:val="double" w:sz="4" w:space="0" w:color="auto"/>
              <w:bottom w:val="sing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0</w:t>
            </w:r>
          </w:p>
        </w:tc>
      </w:tr>
      <w:tr w:rsidR="0045248C" w:rsidTr="00AB149C">
        <w:tc>
          <w:tcPr>
            <w:tcW w:w="3969" w:type="dxa"/>
            <w:vMerge/>
            <w:tcBorders>
              <w:bottom w:val="double" w:sz="4" w:space="0" w:color="auto"/>
            </w:tcBorders>
          </w:tcPr>
          <w:p w:rsidR="00772450" w:rsidRPr="00AB149C" w:rsidRDefault="00C115E4" w:rsidP="002228FD">
            <w:pPr>
              <w:tabs>
                <w:tab w:val="left" w:pos="284"/>
              </w:tabs>
              <w:spacing w:before="40" w:after="40"/>
              <w:rPr>
                <w:rFonts w:ascii="Arial" w:hAnsi="Arial" w:cs="Arial"/>
                <w:b/>
                <w:sz w:val="22"/>
                <w:szCs w:val="22"/>
              </w:rPr>
            </w:pPr>
          </w:p>
        </w:tc>
        <w:tc>
          <w:tcPr>
            <w:tcW w:w="851" w:type="dxa"/>
            <w:tcBorders>
              <w:bottom w:val="double" w:sz="4" w:space="0" w:color="auto"/>
            </w:tcBorders>
            <w:vAlign w:val="center"/>
          </w:tcPr>
          <w:p w:rsidR="00772450"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100%</w:t>
            </w:r>
          </w:p>
        </w:tc>
        <w:tc>
          <w:tcPr>
            <w:tcW w:w="709" w:type="dxa"/>
            <w:tcBorders>
              <w:bottom w:val="doub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10%</w:t>
            </w:r>
          </w:p>
        </w:tc>
        <w:tc>
          <w:tcPr>
            <w:tcW w:w="1417" w:type="dxa"/>
            <w:tcBorders>
              <w:bottom w:val="double" w:sz="4" w:space="0" w:color="auto"/>
            </w:tcBorders>
            <w:vAlign w:val="center"/>
          </w:tcPr>
          <w:p w:rsidR="00772450" w:rsidRPr="00AB149C" w:rsidRDefault="002C4BB5" w:rsidP="002C4BB5">
            <w:pPr>
              <w:spacing w:before="40" w:after="40"/>
              <w:jc w:val="center"/>
              <w:rPr>
                <w:rFonts w:ascii="Arial" w:hAnsi="Arial" w:cs="Arial"/>
                <w:bCs/>
                <w:sz w:val="22"/>
                <w:szCs w:val="22"/>
              </w:rPr>
            </w:pPr>
            <w:r w:rsidRPr="00AB149C">
              <w:rPr>
                <w:rFonts w:ascii="Arial" w:hAnsi="Arial" w:cs="Arial"/>
                <w:bCs/>
                <w:sz w:val="22"/>
                <w:szCs w:val="22"/>
              </w:rPr>
              <w:t>6</w:t>
            </w:r>
            <w:r>
              <w:rPr>
                <w:rFonts w:ascii="Arial" w:hAnsi="Arial" w:cs="Arial"/>
                <w:bCs/>
                <w:sz w:val="22"/>
                <w:szCs w:val="22"/>
              </w:rPr>
              <w:t>7</w:t>
            </w:r>
            <w:r w:rsidRPr="00AB149C">
              <w:rPr>
                <w:rFonts w:ascii="Arial" w:hAnsi="Arial" w:cs="Arial"/>
                <w:bCs/>
                <w:sz w:val="22"/>
                <w:szCs w:val="22"/>
              </w:rPr>
              <w:t>%</w:t>
            </w:r>
          </w:p>
        </w:tc>
        <w:tc>
          <w:tcPr>
            <w:tcW w:w="992" w:type="dxa"/>
            <w:tcBorders>
              <w:bottom w:val="doub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23%</w:t>
            </w:r>
          </w:p>
        </w:tc>
        <w:tc>
          <w:tcPr>
            <w:tcW w:w="709" w:type="dxa"/>
            <w:tcBorders>
              <w:bottom w:val="double" w:sz="4" w:space="0" w:color="auto"/>
            </w:tcBorders>
            <w:vAlign w:val="center"/>
          </w:tcPr>
          <w:p w:rsidR="00772450"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w:t>
            </w:r>
          </w:p>
        </w:tc>
      </w:tr>
      <w:tr w:rsidR="0045248C" w:rsidTr="00AB149C">
        <w:tc>
          <w:tcPr>
            <w:tcW w:w="3969" w:type="dxa"/>
            <w:tcBorders>
              <w:top w:val="double" w:sz="4" w:space="0" w:color="auto"/>
              <w:bottom w:val="nil"/>
            </w:tcBorders>
          </w:tcPr>
          <w:p w:rsidR="00703CA3" w:rsidRPr="00AB149C" w:rsidRDefault="002C4BB5" w:rsidP="002228FD">
            <w:pPr>
              <w:tabs>
                <w:tab w:val="left" w:pos="284"/>
              </w:tabs>
              <w:spacing w:before="40" w:after="40"/>
              <w:rPr>
                <w:rFonts w:ascii="Arial" w:hAnsi="Arial" w:cs="Arial"/>
                <w:b/>
                <w:sz w:val="22"/>
                <w:szCs w:val="22"/>
              </w:rPr>
            </w:pPr>
            <w:r w:rsidRPr="00AB149C">
              <w:rPr>
                <w:rFonts w:ascii="Arial" w:hAnsi="Arial" w:cs="Arial"/>
                <w:b/>
                <w:sz w:val="22"/>
                <w:szCs w:val="22"/>
              </w:rPr>
              <w:t>2016/17 assignments</w:t>
            </w:r>
            <w:r>
              <w:rPr>
                <w:rFonts w:ascii="Arial" w:hAnsi="Arial" w:cs="Arial"/>
                <w:b/>
                <w:sz w:val="22"/>
                <w:szCs w:val="22"/>
              </w:rPr>
              <w:t>: total</w:t>
            </w:r>
          </w:p>
        </w:tc>
        <w:tc>
          <w:tcPr>
            <w:tcW w:w="851" w:type="dxa"/>
            <w:tcBorders>
              <w:top w:val="double" w:sz="4" w:space="0" w:color="auto"/>
              <w:bottom w:val="single" w:sz="4" w:space="0" w:color="auto"/>
            </w:tcBorders>
            <w:vAlign w:val="center"/>
          </w:tcPr>
          <w:p w:rsidR="00703CA3"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31</w:t>
            </w:r>
          </w:p>
        </w:tc>
        <w:tc>
          <w:tcPr>
            <w:tcW w:w="709" w:type="dxa"/>
            <w:tcBorders>
              <w:top w:val="double" w:sz="4" w:space="0" w:color="auto"/>
              <w:bottom w:val="single" w:sz="4" w:space="0" w:color="auto"/>
            </w:tcBorders>
            <w:vAlign w:val="center"/>
          </w:tcPr>
          <w:p w:rsidR="00703CA3"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3</w:t>
            </w:r>
          </w:p>
        </w:tc>
        <w:tc>
          <w:tcPr>
            <w:tcW w:w="1417" w:type="dxa"/>
            <w:tcBorders>
              <w:top w:val="double" w:sz="4" w:space="0" w:color="auto"/>
              <w:bottom w:val="single" w:sz="4" w:space="0" w:color="auto"/>
            </w:tcBorders>
            <w:vAlign w:val="center"/>
          </w:tcPr>
          <w:p w:rsidR="00703CA3"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24</w:t>
            </w:r>
          </w:p>
        </w:tc>
        <w:tc>
          <w:tcPr>
            <w:tcW w:w="992" w:type="dxa"/>
            <w:tcBorders>
              <w:top w:val="double" w:sz="4" w:space="0" w:color="auto"/>
              <w:bottom w:val="single" w:sz="4" w:space="0" w:color="auto"/>
            </w:tcBorders>
            <w:vAlign w:val="center"/>
          </w:tcPr>
          <w:p w:rsidR="00703CA3"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4</w:t>
            </w:r>
          </w:p>
        </w:tc>
        <w:tc>
          <w:tcPr>
            <w:tcW w:w="709" w:type="dxa"/>
            <w:tcBorders>
              <w:top w:val="double" w:sz="4" w:space="0" w:color="auto"/>
              <w:bottom w:val="single" w:sz="4" w:space="0" w:color="auto"/>
            </w:tcBorders>
            <w:vAlign w:val="center"/>
          </w:tcPr>
          <w:p w:rsidR="00703CA3"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0</w:t>
            </w:r>
          </w:p>
        </w:tc>
      </w:tr>
      <w:tr w:rsidR="0045248C" w:rsidTr="00AB149C">
        <w:tc>
          <w:tcPr>
            <w:tcW w:w="3969" w:type="dxa"/>
            <w:tcBorders>
              <w:top w:val="nil"/>
              <w:bottom w:val="single" w:sz="4" w:space="0" w:color="auto"/>
            </w:tcBorders>
          </w:tcPr>
          <w:p w:rsidR="002564C4" w:rsidRPr="00AB149C" w:rsidRDefault="00C115E4" w:rsidP="002228FD">
            <w:pPr>
              <w:tabs>
                <w:tab w:val="left" w:pos="284"/>
              </w:tabs>
              <w:spacing w:before="40" w:after="40"/>
              <w:rPr>
                <w:rFonts w:ascii="Arial" w:hAnsi="Arial" w:cs="Arial"/>
                <w:sz w:val="22"/>
                <w:szCs w:val="22"/>
              </w:rPr>
            </w:pPr>
          </w:p>
        </w:tc>
        <w:tc>
          <w:tcPr>
            <w:tcW w:w="851" w:type="dxa"/>
            <w:tcBorders>
              <w:top w:val="single" w:sz="4" w:space="0" w:color="auto"/>
              <w:bottom w:val="single" w:sz="4" w:space="0" w:color="auto"/>
            </w:tcBorders>
            <w:vAlign w:val="center"/>
          </w:tcPr>
          <w:p w:rsidR="002564C4" w:rsidRPr="00AB149C" w:rsidRDefault="002C4BB5" w:rsidP="002228FD">
            <w:pPr>
              <w:spacing w:before="40" w:after="40"/>
              <w:jc w:val="center"/>
              <w:rPr>
                <w:rFonts w:ascii="Arial" w:hAnsi="Arial" w:cs="Arial"/>
                <w:sz w:val="22"/>
                <w:szCs w:val="22"/>
              </w:rPr>
            </w:pPr>
            <w:r w:rsidRPr="00AB149C">
              <w:rPr>
                <w:rFonts w:ascii="Arial" w:hAnsi="Arial" w:cs="Arial"/>
                <w:sz w:val="22"/>
                <w:szCs w:val="22"/>
              </w:rPr>
              <w:t>100%</w:t>
            </w:r>
          </w:p>
        </w:tc>
        <w:tc>
          <w:tcPr>
            <w:tcW w:w="709" w:type="dxa"/>
            <w:tcBorders>
              <w:top w:val="single" w:sz="4" w:space="0" w:color="auto"/>
              <w:bottom w:val="single" w:sz="4" w:space="0" w:color="auto"/>
            </w:tcBorders>
            <w:vAlign w:val="center"/>
          </w:tcPr>
          <w:p w:rsidR="002564C4"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10%</w:t>
            </w:r>
          </w:p>
        </w:tc>
        <w:tc>
          <w:tcPr>
            <w:tcW w:w="1417" w:type="dxa"/>
            <w:tcBorders>
              <w:top w:val="single" w:sz="4" w:space="0" w:color="auto"/>
              <w:bottom w:val="single" w:sz="4" w:space="0" w:color="auto"/>
            </w:tcBorders>
            <w:vAlign w:val="center"/>
          </w:tcPr>
          <w:p w:rsidR="002564C4"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77%</w:t>
            </w:r>
          </w:p>
        </w:tc>
        <w:tc>
          <w:tcPr>
            <w:tcW w:w="992" w:type="dxa"/>
            <w:tcBorders>
              <w:top w:val="single" w:sz="4" w:space="0" w:color="auto"/>
              <w:bottom w:val="single" w:sz="4" w:space="0" w:color="auto"/>
            </w:tcBorders>
            <w:vAlign w:val="center"/>
          </w:tcPr>
          <w:p w:rsidR="002564C4"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13%</w:t>
            </w:r>
          </w:p>
        </w:tc>
        <w:tc>
          <w:tcPr>
            <w:tcW w:w="709" w:type="dxa"/>
            <w:tcBorders>
              <w:top w:val="single" w:sz="4" w:space="0" w:color="auto"/>
              <w:bottom w:val="single" w:sz="4" w:space="0" w:color="auto"/>
            </w:tcBorders>
            <w:vAlign w:val="center"/>
          </w:tcPr>
          <w:p w:rsidR="002564C4" w:rsidRPr="00AB149C" w:rsidRDefault="002C4BB5" w:rsidP="002228FD">
            <w:pPr>
              <w:spacing w:before="40" w:after="40"/>
              <w:jc w:val="center"/>
              <w:rPr>
                <w:rFonts w:ascii="Arial" w:hAnsi="Arial" w:cs="Arial"/>
                <w:bCs/>
                <w:sz w:val="22"/>
                <w:szCs w:val="22"/>
              </w:rPr>
            </w:pPr>
            <w:r w:rsidRPr="00AB149C">
              <w:rPr>
                <w:rFonts w:ascii="Arial" w:hAnsi="Arial" w:cs="Arial"/>
                <w:bCs/>
                <w:sz w:val="22"/>
                <w:szCs w:val="22"/>
              </w:rPr>
              <w:t>0</w:t>
            </w:r>
          </w:p>
        </w:tc>
      </w:tr>
    </w:tbl>
    <w:p w:rsidR="00902B53" w:rsidRDefault="002C4BB5" w:rsidP="00C115E4">
      <w:pPr>
        <w:pStyle w:val="Rparagraph"/>
        <w:jc w:val="both"/>
      </w:pPr>
      <w:r>
        <w:t xml:space="preserve">As can be clearly seen, a further 20 audits have now been reported and the overall balance of assurances remains consistent with the position reported at the end of March. This reinforces the overall opinion given for the council as a whole in the annual report for 2017/18 and although limited assurance was given for the council overall, the results of the audit work conducted during the year are very positive. </w:t>
      </w:r>
    </w:p>
    <w:p w:rsidR="000F7E27" w:rsidRDefault="002C4BB5" w:rsidP="00C115E4">
      <w:pPr>
        <w:pStyle w:val="Rparagraph"/>
        <w:jc w:val="both"/>
      </w:pPr>
      <w:r>
        <w:t xml:space="preserve">As reported in March 2018, there are a number of areas of the council's business </w:t>
      </w:r>
      <w:r>
        <w:rPr>
          <w:rFonts w:cs="Arial"/>
        </w:rPr>
        <w:t xml:space="preserve">where management has identified the need to continue to make service and control improvements and these were therefore excluded from the scope of audit work for 2017/18. Some of these are significant and have therefore also affected the assurance provided overall but the plans being </w:t>
      </w:r>
      <w:r>
        <w:rPr>
          <w:rFonts w:cs="Arial"/>
        </w:rPr>
        <w:lastRenderedPageBreak/>
        <w:t>implemented by managers across the organisation are building the foundations for better control.</w:t>
      </w:r>
    </w:p>
    <w:p w:rsidR="00703CA3" w:rsidRDefault="002C4BB5" w:rsidP="00C115E4">
      <w:pPr>
        <w:pStyle w:val="Rparagraph"/>
        <w:jc w:val="both"/>
      </w:pPr>
      <w:r>
        <w:t xml:space="preserve">The full list of audits completed under the plan for 2017/18, and </w:t>
      </w:r>
      <w:r w:rsidRPr="00866838">
        <w:t>the</w:t>
      </w:r>
      <w:r>
        <w:t xml:space="preserve"> assurance provided for each, are shown </w:t>
      </w:r>
      <w:r w:rsidRPr="00CC069E">
        <w:t xml:space="preserve">in annex 1 to </w:t>
      </w:r>
      <w:r>
        <w:t>this report.</w:t>
      </w:r>
    </w:p>
    <w:p w:rsidR="00685769" w:rsidRPr="00DB6D52" w:rsidRDefault="002C4BB5" w:rsidP="00C115E4">
      <w:pPr>
        <w:pStyle w:val="Rparagraph"/>
        <w:jc w:val="both"/>
      </w:pPr>
      <w:r>
        <w:t xml:space="preserve">Summaries of the findings from each of the audit engagements completed between </w:t>
      </w:r>
      <w:r w:rsidRPr="00DB6D52">
        <w:t xml:space="preserve">31 March and 30 June 2018 are included in annex 2 to this report. </w:t>
      </w:r>
    </w:p>
    <w:p w:rsidR="00F11902" w:rsidRDefault="002C4BB5" w:rsidP="00F11902">
      <w:pPr>
        <w:pStyle w:val="Rsub-heading"/>
      </w:pPr>
      <w:r>
        <w:t>Lancashire Pension Fund</w:t>
      </w:r>
    </w:p>
    <w:p w:rsidR="00685769" w:rsidRPr="00DB6D52" w:rsidRDefault="002C4BB5" w:rsidP="00C115E4">
      <w:pPr>
        <w:pStyle w:val="Rparagraph"/>
        <w:jc w:val="both"/>
      </w:pPr>
      <w:r w:rsidRPr="00DB6D52">
        <w:t xml:space="preserve">Deloitte has completed one of the two remaining audits of Local Pensions Partnership Ltd (LPPL), on the oversight of business and transformation change (phase 2), and provided their opinion that controls </w:t>
      </w:r>
      <w:r>
        <w:t xml:space="preserve">over this </w:t>
      </w:r>
      <w:r w:rsidRPr="00DB6D52">
        <w:t>are effective with scope for improvement. Deloitte expects to take the final audit of 2017/18, on investment operations, to LPPL's Audit Committee in November 2018.</w:t>
      </w:r>
    </w:p>
    <w:p w:rsidR="00010FC4" w:rsidRDefault="002C4BB5" w:rsidP="00C115E4">
      <w:pPr>
        <w:pStyle w:val="Rparagraph"/>
        <w:jc w:val="both"/>
      </w:pPr>
      <w:r w:rsidRPr="00DB6D52">
        <w:t xml:space="preserve">Note that Deloitte </w:t>
      </w:r>
      <w:r>
        <w:t>disclaims any liability to the council for any reliance it may place on this work but have agreed that their conclusions may be reported to the Audit, Risk and Governance Committee.</w:t>
      </w:r>
    </w:p>
    <w:p w:rsidR="00DB6D52" w:rsidRDefault="002C4BB5" w:rsidP="00C115E4">
      <w:pPr>
        <w:pStyle w:val="Rparagraph"/>
        <w:jc w:val="both"/>
      </w:pPr>
      <w:r>
        <w:t>At its last meeting the committee was concerned that seven of the eight reports completed by Deloitte gave the opinions that controls were "effective with scope for improvement". LPPL's management team has responded to these concerns as follows:</w:t>
      </w:r>
    </w:p>
    <w:p w:rsidR="000F7E27" w:rsidRDefault="002C4BB5" w:rsidP="00C115E4">
      <w:pPr>
        <w:pStyle w:val="Rquotation"/>
        <w:jc w:val="both"/>
      </w:pPr>
      <w:r>
        <w:t xml:space="preserve">"LPP embarked on an ambitious Year 1 audit plan which focused on high risk areas to the business. This included reviewing governance, financial controls, benefit administration, and general IT controls. As a newly formed business it was important that LPP’s internal auditors reviewed the foundations of the business and provided valuable input in how to move forward. </w:t>
      </w:r>
    </w:p>
    <w:p w:rsidR="000F7E27" w:rsidRDefault="002C4BB5" w:rsidP="00C115E4">
      <w:pPr>
        <w:pStyle w:val="Rquotation"/>
        <w:jc w:val="both"/>
      </w:pPr>
      <w:r>
        <w:t xml:space="preserve">"During 2017-18 Deloitte completed 9 out of 10 scheduled audits. The final audit is in progress with management responses undergoing LPP internal review. Of the 9 completed audits, 8 received a rating of “Effective with scope for improvement” and 1 received an “effective” rating. LPP’s management agreed with all of the ratings and felt that it reflected the start-up nature of the business. </w:t>
      </w:r>
    </w:p>
    <w:p w:rsidR="00DB6D52" w:rsidRDefault="002C4BB5" w:rsidP="00C115E4">
      <w:pPr>
        <w:pStyle w:val="Rquotation"/>
        <w:jc w:val="both"/>
      </w:pPr>
      <w:r>
        <w:t>"77% of all recommendations have been implemented or are on track to be implemented by the original due date, with the remaining 23% overdue but with a remedial plan for implementation. Only 3 remaining recommendations are categorised as “high” and are on track to be completed by 30</w:t>
      </w:r>
      <w:r>
        <w:rPr>
          <w:vertAlign w:val="superscript"/>
        </w:rPr>
        <w:t>th</w:t>
      </w:r>
      <w:r>
        <w:t xml:space="preserve"> September 2018."</w:t>
      </w:r>
    </w:p>
    <w:p w:rsidR="002E5134" w:rsidRDefault="002C4BB5" w:rsidP="00951213">
      <w:pPr>
        <w:pStyle w:val="Rheading"/>
      </w:pPr>
      <w:r>
        <w:t>Completion of the audit plan for 2017/18</w:t>
      </w:r>
    </w:p>
    <w:p w:rsidR="00EA7779" w:rsidRDefault="002C4BB5" w:rsidP="00C115E4">
      <w:pPr>
        <w:pStyle w:val="Rparagraph"/>
        <w:jc w:val="both"/>
      </w:pPr>
      <w:r>
        <w:t>The audit plan for 2017/18 included 68 engagements that would be expected to result in assurance. Of these, 51 (75%) have been completed, four removed from the plan completely and seven deferred into 2018/19, and seven were still ongoing at the time this report was published. These will be added to the plan for 2018/19 and reported to the next meeting of the committee.</w:t>
      </w:r>
    </w:p>
    <w:p w:rsidR="00EA7779" w:rsidRDefault="002C4BB5" w:rsidP="00C115E4">
      <w:pPr>
        <w:pStyle w:val="Rparagraph"/>
        <w:jc w:val="both"/>
      </w:pPr>
      <w:r>
        <w:t xml:space="preserve">Six follow-up engagements were undertaken, which do not normally result in a revised audit opinion but confirm whether action has been taken as intended by </w:t>
      </w:r>
      <w:r>
        <w:lastRenderedPageBreak/>
        <w:t>managers. Other follow-up work was embedded within the 51 main audit engagements and reported with these to our auditees. In 2017/18 we did not separately report our follow-up work and findings, but will do so during 2018/19.</w:t>
      </w:r>
    </w:p>
    <w:p w:rsidR="00C115E4" w:rsidRDefault="00C115E4" w:rsidP="00C115E4">
      <w:pPr>
        <w:pStyle w:val="Rparagraph"/>
        <w:numPr>
          <w:ilvl w:val="0"/>
          <w:numId w:val="0"/>
        </w:numPr>
        <w:ind w:left="567"/>
        <w:jc w:val="both"/>
      </w:pPr>
    </w:p>
    <w:p w:rsidR="00E0099B" w:rsidRDefault="002C4BB5" w:rsidP="00E0099B">
      <w:pPr>
        <w:pStyle w:val="Rheading"/>
      </w:pPr>
      <w:r>
        <w:t>Follow up work</w:t>
      </w:r>
    </w:p>
    <w:p w:rsidR="009E256D" w:rsidRDefault="002C4BB5" w:rsidP="00C115E4">
      <w:pPr>
        <w:pStyle w:val="Rparagraph"/>
        <w:jc w:val="both"/>
      </w:pPr>
      <w:r>
        <w:t xml:space="preserve">The Internal Audit Service routinely follows up the action taken by managers to address the risks identified through the audit process to confirm whether or not action has been taken. However it normally does so only once all, or the majority, of the deadlines for completion have passed. The Cabinet Committee for Performance Improvement (CCPI) has now adopted a new performance indicator on the corporate performance dashboard: the </w:t>
      </w:r>
      <w:r w:rsidRPr="000313DC">
        <w:rPr>
          <w:rFonts w:cs="Arial"/>
          <w:szCs w:val="24"/>
        </w:rPr>
        <w:t>'</w:t>
      </w:r>
      <w:r>
        <w:rPr>
          <w:rFonts w:cs="Arial"/>
          <w:szCs w:val="24"/>
        </w:rPr>
        <w:t>p</w:t>
      </w:r>
      <w:r w:rsidRPr="000313DC">
        <w:rPr>
          <w:rFonts w:cs="Arial"/>
          <w:szCs w:val="24"/>
        </w:rPr>
        <w:t>roportion of the actions identified through audit work that were completed within the agreed timescale in the period'</w:t>
      </w:r>
      <w:r>
        <w:rPr>
          <w:rFonts w:cs="Arial"/>
          <w:szCs w:val="24"/>
        </w:rPr>
        <w:t>. The service has therefore begun to collate managers' assessments of whether action has been completed by the due date as that date passes and this data will become the first stage of our follow-up work as well as informing the corporate dashboard.</w:t>
      </w:r>
    </w:p>
    <w:p w:rsidR="000313DC" w:rsidRDefault="002C4BB5" w:rsidP="00C115E4">
      <w:pPr>
        <w:pStyle w:val="Rparagraph"/>
        <w:jc w:val="both"/>
      </w:pPr>
      <w:r>
        <w:t>Every manager responsible for an action arising from an audit that was due to be completed before the end of June 2018 was contacted during June. At this point not all the data from managers is available for all the actions due to have been completed but the initial statistics are as follows:</w:t>
      </w:r>
    </w:p>
    <w:tbl>
      <w:tblPr>
        <w:tblStyle w:val="TableGrid"/>
        <w:tblW w:w="0" w:type="auto"/>
        <w:tblInd w:w="567" w:type="dxa"/>
        <w:tblLook w:val="04A0" w:firstRow="1" w:lastRow="0" w:firstColumn="1" w:lastColumn="0" w:noHBand="0" w:noVBand="1"/>
      </w:tblPr>
      <w:tblGrid>
        <w:gridCol w:w="4957"/>
        <w:gridCol w:w="850"/>
        <w:gridCol w:w="702"/>
        <w:gridCol w:w="1141"/>
        <w:gridCol w:w="799"/>
      </w:tblGrid>
      <w:tr w:rsidR="0045248C" w:rsidTr="00871F7F">
        <w:trPr>
          <w:trHeight w:val="343"/>
        </w:trPr>
        <w:tc>
          <w:tcPr>
            <w:tcW w:w="4957" w:type="dxa"/>
            <w:vMerge w:val="restart"/>
            <w:tcBorders>
              <w:right w:val="single" w:sz="4" w:space="0" w:color="auto"/>
            </w:tcBorders>
          </w:tcPr>
          <w:p w:rsidR="00DA1C8E" w:rsidRPr="00DA1C8E" w:rsidRDefault="002C4BB5" w:rsidP="00DA1C8E">
            <w:pPr>
              <w:pStyle w:val="Rquotation"/>
              <w:spacing w:before="60" w:after="60"/>
              <w:ind w:left="0"/>
              <w:rPr>
                <w:b/>
                <w:sz w:val="22"/>
                <w:szCs w:val="22"/>
              </w:rPr>
            </w:pPr>
            <w:r w:rsidRPr="00DA1C8E">
              <w:rPr>
                <w:b/>
                <w:sz w:val="22"/>
                <w:szCs w:val="22"/>
              </w:rPr>
              <w:t>Numbers of actions agreed</w:t>
            </w:r>
            <w:r>
              <w:rPr>
                <w:b/>
                <w:sz w:val="22"/>
                <w:szCs w:val="22"/>
              </w:rPr>
              <w:t xml:space="preserve"> following audit work during 2016/17 and 2017/18</w:t>
            </w:r>
          </w:p>
        </w:tc>
        <w:tc>
          <w:tcPr>
            <w:tcW w:w="3492" w:type="dxa"/>
            <w:gridSpan w:val="4"/>
            <w:tcBorders>
              <w:left w:val="single" w:sz="4" w:space="0" w:color="auto"/>
            </w:tcBorders>
          </w:tcPr>
          <w:p w:rsidR="00DA1C8E" w:rsidRPr="00DA1C8E" w:rsidRDefault="002C4BB5" w:rsidP="00DA1C8E">
            <w:pPr>
              <w:pStyle w:val="Rquotation"/>
              <w:spacing w:before="60" w:after="60"/>
              <w:ind w:left="0"/>
              <w:rPr>
                <w:sz w:val="22"/>
                <w:szCs w:val="22"/>
              </w:rPr>
            </w:pPr>
            <w:r>
              <w:rPr>
                <w:sz w:val="22"/>
                <w:szCs w:val="22"/>
              </w:rPr>
              <w:t>Risk rating</w:t>
            </w:r>
          </w:p>
        </w:tc>
      </w:tr>
      <w:tr w:rsidR="0045248C" w:rsidTr="00871F7F">
        <w:tc>
          <w:tcPr>
            <w:tcW w:w="4957" w:type="dxa"/>
            <w:vMerge/>
            <w:tcBorders>
              <w:right w:val="single" w:sz="4" w:space="0" w:color="auto"/>
            </w:tcBorders>
          </w:tcPr>
          <w:p w:rsidR="00DA1C8E" w:rsidRPr="00DA1C8E" w:rsidRDefault="00C115E4" w:rsidP="00DA1C8E">
            <w:pPr>
              <w:pStyle w:val="Rquotation"/>
              <w:spacing w:before="60" w:after="60"/>
              <w:ind w:left="0"/>
              <w:rPr>
                <w:sz w:val="22"/>
                <w:szCs w:val="22"/>
              </w:rPr>
            </w:pPr>
          </w:p>
        </w:tc>
        <w:tc>
          <w:tcPr>
            <w:tcW w:w="850" w:type="dxa"/>
            <w:tcBorders>
              <w:left w:val="single" w:sz="4" w:space="0" w:color="auto"/>
            </w:tcBorders>
          </w:tcPr>
          <w:p w:rsidR="00DA1C8E" w:rsidRPr="00DA1C8E" w:rsidRDefault="002C4BB5" w:rsidP="00DA1C8E">
            <w:pPr>
              <w:pStyle w:val="Rquotation"/>
              <w:spacing w:before="60" w:after="60"/>
              <w:ind w:left="0"/>
              <w:rPr>
                <w:sz w:val="22"/>
                <w:szCs w:val="22"/>
              </w:rPr>
            </w:pPr>
            <w:r>
              <w:rPr>
                <w:sz w:val="22"/>
                <w:szCs w:val="22"/>
              </w:rPr>
              <w:t>Total</w:t>
            </w:r>
          </w:p>
        </w:tc>
        <w:tc>
          <w:tcPr>
            <w:tcW w:w="702" w:type="dxa"/>
          </w:tcPr>
          <w:p w:rsidR="00DA1C8E" w:rsidRPr="00DA1C8E" w:rsidRDefault="002C4BB5" w:rsidP="00DA1C8E">
            <w:pPr>
              <w:pStyle w:val="Rquotation"/>
              <w:spacing w:before="60" w:after="60"/>
              <w:ind w:left="0"/>
              <w:rPr>
                <w:sz w:val="22"/>
                <w:szCs w:val="22"/>
              </w:rPr>
            </w:pPr>
            <w:r>
              <w:rPr>
                <w:sz w:val="22"/>
                <w:szCs w:val="22"/>
              </w:rPr>
              <w:t>High</w:t>
            </w:r>
          </w:p>
        </w:tc>
        <w:tc>
          <w:tcPr>
            <w:tcW w:w="1141" w:type="dxa"/>
          </w:tcPr>
          <w:p w:rsidR="00DA1C8E" w:rsidRPr="00DA1C8E" w:rsidRDefault="002C4BB5" w:rsidP="00DA1C8E">
            <w:pPr>
              <w:pStyle w:val="Rquotation"/>
              <w:spacing w:before="60" w:after="60"/>
              <w:ind w:left="0"/>
              <w:rPr>
                <w:sz w:val="22"/>
                <w:szCs w:val="22"/>
              </w:rPr>
            </w:pPr>
            <w:r>
              <w:rPr>
                <w:sz w:val="22"/>
                <w:szCs w:val="22"/>
              </w:rPr>
              <w:t>Medium</w:t>
            </w:r>
          </w:p>
        </w:tc>
        <w:tc>
          <w:tcPr>
            <w:tcW w:w="799" w:type="dxa"/>
          </w:tcPr>
          <w:p w:rsidR="00DA1C8E" w:rsidRPr="00DA1C8E" w:rsidRDefault="002C4BB5" w:rsidP="00DA1C8E">
            <w:pPr>
              <w:pStyle w:val="Rquotation"/>
              <w:spacing w:before="60" w:after="60"/>
              <w:ind w:left="0"/>
              <w:rPr>
                <w:sz w:val="22"/>
                <w:szCs w:val="22"/>
              </w:rPr>
            </w:pPr>
            <w:r>
              <w:rPr>
                <w:sz w:val="22"/>
                <w:szCs w:val="22"/>
              </w:rPr>
              <w:t>Low</w:t>
            </w:r>
          </w:p>
        </w:tc>
      </w:tr>
      <w:tr w:rsidR="0045248C" w:rsidTr="00DA1C8E">
        <w:tc>
          <w:tcPr>
            <w:tcW w:w="4957" w:type="dxa"/>
          </w:tcPr>
          <w:p w:rsidR="00DA1C8E" w:rsidRPr="00DA1C8E" w:rsidRDefault="002C4BB5" w:rsidP="00DA1C8E">
            <w:pPr>
              <w:pStyle w:val="Rquotation"/>
              <w:spacing w:before="60" w:after="60"/>
              <w:ind w:left="0"/>
              <w:rPr>
                <w:sz w:val="22"/>
                <w:szCs w:val="22"/>
              </w:rPr>
            </w:pPr>
            <w:r>
              <w:rPr>
                <w:sz w:val="22"/>
                <w:szCs w:val="22"/>
              </w:rPr>
              <w:t>Complete</w:t>
            </w:r>
          </w:p>
        </w:tc>
        <w:tc>
          <w:tcPr>
            <w:tcW w:w="850" w:type="dxa"/>
          </w:tcPr>
          <w:p w:rsidR="00DA1C8E" w:rsidRPr="00DA1C8E" w:rsidRDefault="002C4BB5" w:rsidP="00DA1C8E">
            <w:pPr>
              <w:pStyle w:val="Rquotation"/>
              <w:tabs>
                <w:tab w:val="decimal" w:pos="459"/>
              </w:tabs>
              <w:spacing w:before="60" w:after="60"/>
              <w:ind w:left="0"/>
              <w:rPr>
                <w:sz w:val="22"/>
                <w:szCs w:val="22"/>
              </w:rPr>
            </w:pPr>
            <w:r>
              <w:rPr>
                <w:sz w:val="22"/>
                <w:szCs w:val="22"/>
              </w:rPr>
              <w:t>114</w:t>
            </w:r>
          </w:p>
        </w:tc>
        <w:tc>
          <w:tcPr>
            <w:tcW w:w="702" w:type="dxa"/>
          </w:tcPr>
          <w:p w:rsidR="00DA1C8E" w:rsidRPr="00DA1C8E" w:rsidRDefault="002C4BB5" w:rsidP="00DA1C8E">
            <w:pPr>
              <w:pStyle w:val="Rquotation"/>
              <w:tabs>
                <w:tab w:val="decimal" w:pos="459"/>
              </w:tabs>
              <w:spacing w:before="60" w:after="60"/>
              <w:ind w:left="0"/>
              <w:rPr>
                <w:sz w:val="22"/>
                <w:szCs w:val="22"/>
              </w:rPr>
            </w:pPr>
            <w:r>
              <w:rPr>
                <w:sz w:val="22"/>
                <w:szCs w:val="22"/>
              </w:rPr>
              <w:t>10</w:t>
            </w:r>
          </w:p>
        </w:tc>
        <w:tc>
          <w:tcPr>
            <w:tcW w:w="1141" w:type="dxa"/>
          </w:tcPr>
          <w:p w:rsidR="00DA1C8E" w:rsidRPr="00DA1C8E" w:rsidRDefault="002C4BB5" w:rsidP="00DA1C8E">
            <w:pPr>
              <w:pStyle w:val="Rquotation"/>
              <w:tabs>
                <w:tab w:val="decimal" w:pos="749"/>
              </w:tabs>
              <w:spacing w:before="60" w:after="60"/>
              <w:ind w:left="0"/>
              <w:rPr>
                <w:sz w:val="22"/>
                <w:szCs w:val="22"/>
              </w:rPr>
            </w:pPr>
            <w:r>
              <w:rPr>
                <w:sz w:val="22"/>
                <w:szCs w:val="22"/>
              </w:rPr>
              <w:t>53</w:t>
            </w:r>
          </w:p>
        </w:tc>
        <w:tc>
          <w:tcPr>
            <w:tcW w:w="799" w:type="dxa"/>
          </w:tcPr>
          <w:p w:rsidR="00DA1C8E" w:rsidRPr="00DA1C8E" w:rsidRDefault="002C4BB5" w:rsidP="00DA1C8E">
            <w:pPr>
              <w:pStyle w:val="Rquotation"/>
              <w:tabs>
                <w:tab w:val="decimal" w:pos="459"/>
              </w:tabs>
              <w:spacing w:before="60" w:after="60"/>
              <w:ind w:left="0"/>
              <w:rPr>
                <w:sz w:val="22"/>
                <w:szCs w:val="22"/>
              </w:rPr>
            </w:pPr>
            <w:r>
              <w:rPr>
                <w:sz w:val="22"/>
                <w:szCs w:val="22"/>
              </w:rPr>
              <w:t>51</w:t>
            </w:r>
          </w:p>
        </w:tc>
      </w:tr>
      <w:tr w:rsidR="0045248C" w:rsidTr="00DA1C8E">
        <w:tc>
          <w:tcPr>
            <w:tcW w:w="4957" w:type="dxa"/>
          </w:tcPr>
          <w:p w:rsidR="00DA1C8E" w:rsidRPr="00DA1C8E" w:rsidRDefault="002C4BB5" w:rsidP="00DA1C8E">
            <w:pPr>
              <w:pStyle w:val="Rquotation"/>
              <w:spacing w:before="60" w:after="60"/>
              <w:ind w:left="0"/>
              <w:rPr>
                <w:sz w:val="22"/>
                <w:szCs w:val="22"/>
              </w:rPr>
            </w:pPr>
            <w:r>
              <w:rPr>
                <w:sz w:val="22"/>
                <w:szCs w:val="22"/>
              </w:rPr>
              <w:t>Incomplete</w:t>
            </w:r>
          </w:p>
        </w:tc>
        <w:tc>
          <w:tcPr>
            <w:tcW w:w="850" w:type="dxa"/>
          </w:tcPr>
          <w:p w:rsidR="00DA1C8E" w:rsidRPr="00DA1C8E" w:rsidRDefault="002C4BB5" w:rsidP="00DA1C8E">
            <w:pPr>
              <w:pStyle w:val="Rquotation"/>
              <w:tabs>
                <w:tab w:val="decimal" w:pos="459"/>
              </w:tabs>
              <w:spacing w:before="60" w:after="60"/>
              <w:ind w:left="0"/>
              <w:rPr>
                <w:sz w:val="22"/>
                <w:szCs w:val="22"/>
              </w:rPr>
            </w:pPr>
            <w:r>
              <w:rPr>
                <w:sz w:val="22"/>
                <w:szCs w:val="22"/>
              </w:rPr>
              <w:t>21</w:t>
            </w:r>
          </w:p>
        </w:tc>
        <w:tc>
          <w:tcPr>
            <w:tcW w:w="702" w:type="dxa"/>
          </w:tcPr>
          <w:p w:rsidR="00DA1C8E" w:rsidRPr="00DA1C8E" w:rsidRDefault="002C4BB5" w:rsidP="00DA1C8E">
            <w:pPr>
              <w:pStyle w:val="Rquotation"/>
              <w:tabs>
                <w:tab w:val="decimal" w:pos="459"/>
              </w:tabs>
              <w:spacing w:before="60" w:after="60"/>
              <w:ind w:left="0"/>
              <w:rPr>
                <w:sz w:val="22"/>
                <w:szCs w:val="22"/>
              </w:rPr>
            </w:pPr>
            <w:r>
              <w:rPr>
                <w:sz w:val="22"/>
                <w:szCs w:val="22"/>
              </w:rPr>
              <w:t>1</w:t>
            </w:r>
          </w:p>
        </w:tc>
        <w:tc>
          <w:tcPr>
            <w:tcW w:w="1141" w:type="dxa"/>
          </w:tcPr>
          <w:p w:rsidR="00DA1C8E" w:rsidRPr="00DA1C8E" w:rsidRDefault="002C4BB5" w:rsidP="00DA1C8E">
            <w:pPr>
              <w:pStyle w:val="Rquotation"/>
              <w:tabs>
                <w:tab w:val="decimal" w:pos="749"/>
              </w:tabs>
              <w:spacing w:before="60" w:after="60"/>
              <w:ind w:left="0"/>
              <w:rPr>
                <w:sz w:val="22"/>
                <w:szCs w:val="22"/>
              </w:rPr>
            </w:pPr>
            <w:r>
              <w:rPr>
                <w:sz w:val="22"/>
                <w:szCs w:val="22"/>
              </w:rPr>
              <w:t>14</w:t>
            </w:r>
          </w:p>
        </w:tc>
        <w:tc>
          <w:tcPr>
            <w:tcW w:w="799" w:type="dxa"/>
          </w:tcPr>
          <w:p w:rsidR="00DA1C8E" w:rsidRPr="00DA1C8E" w:rsidRDefault="002C4BB5" w:rsidP="00DA1C8E">
            <w:pPr>
              <w:pStyle w:val="Rquotation"/>
              <w:tabs>
                <w:tab w:val="decimal" w:pos="459"/>
              </w:tabs>
              <w:spacing w:before="60" w:after="60"/>
              <w:ind w:left="0"/>
              <w:rPr>
                <w:sz w:val="22"/>
                <w:szCs w:val="22"/>
              </w:rPr>
            </w:pPr>
            <w:r>
              <w:rPr>
                <w:sz w:val="22"/>
                <w:szCs w:val="22"/>
              </w:rPr>
              <w:t>6</w:t>
            </w:r>
          </w:p>
        </w:tc>
      </w:tr>
      <w:tr w:rsidR="0045248C" w:rsidTr="00DA1C8E">
        <w:tc>
          <w:tcPr>
            <w:tcW w:w="4957" w:type="dxa"/>
          </w:tcPr>
          <w:p w:rsidR="00DA1C8E" w:rsidRPr="00DA1C8E" w:rsidRDefault="002C4BB5" w:rsidP="00DA1C8E">
            <w:pPr>
              <w:pStyle w:val="Rquotation"/>
              <w:spacing w:before="60" w:after="60"/>
              <w:ind w:left="0"/>
              <w:rPr>
                <w:sz w:val="22"/>
                <w:szCs w:val="22"/>
              </w:rPr>
            </w:pPr>
            <w:r>
              <w:rPr>
                <w:sz w:val="22"/>
                <w:szCs w:val="22"/>
              </w:rPr>
              <w:t>Superseded</w:t>
            </w:r>
          </w:p>
        </w:tc>
        <w:tc>
          <w:tcPr>
            <w:tcW w:w="850" w:type="dxa"/>
          </w:tcPr>
          <w:p w:rsidR="00DA1C8E" w:rsidRPr="00DA1C8E" w:rsidRDefault="002C4BB5" w:rsidP="00DA1C8E">
            <w:pPr>
              <w:pStyle w:val="Rquotation"/>
              <w:tabs>
                <w:tab w:val="decimal" w:pos="459"/>
              </w:tabs>
              <w:spacing w:before="60" w:after="60"/>
              <w:ind w:left="0"/>
              <w:rPr>
                <w:sz w:val="22"/>
                <w:szCs w:val="22"/>
              </w:rPr>
            </w:pPr>
            <w:r>
              <w:rPr>
                <w:sz w:val="22"/>
                <w:szCs w:val="22"/>
              </w:rPr>
              <w:t>22</w:t>
            </w:r>
          </w:p>
        </w:tc>
        <w:tc>
          <w:tcPr>
            <w:tcW w:w="702" w:type="dxa"/>
          </w:tcPr>
          <w:p w:rsidR="00DA1C8E" w:rsidRPr="00DA1C8E" w:rsidRDefault="002C4BB5" w:rsidP="00DA1C8E">
            <w:pPr>
              <w:pStyle w:val="Rquotation"/>
              <w:tabs>
                <w:tab w:val="decimal" w:pos="459"/>
              </w:tabs>
              <w:spacing w:before="60" w:after="60"/>
              <w:ind w:left="0"/>
              <w:rPr>
                <w:sz w:val="22"/>
                <w:szCs w:val="22"/>
              </w:rPr>
            </w:pPr>
            <w:r>
              <w:rPr>
                <w:sz w:val="22"/>
                <w:szCs w:val="22"/>
              </w:rPr>
              <w:t>4</w:t>
            </w:r>
          </w:p>
        </w:tc>
        <w:tc>
          <w:tcPr>
            <w:tcW w:w="1141" w:type="dxa"/>
          </w:tcPr>
          <w:p w:rsidR="00DA1C8E" w:rsidRPr="00DA1C8E" w:rsidRDefault="002C4BB5" w:rsidP="00DA1C8E">
            <w:pPr>
              <w:pStyle w:val="Rquotation"/>
              <w:tabs>
                <w:tab w:val="decimal" w:pos="749"/>
              </w:tabs>
              <w:spacing w:before="60" w:after="60"/>
              <w:ind w:left="0"/>
              <w:rPr>
                <w:sz w:val="22"/>
                <w:szCs w:val="22"/>
              </w:rPr>
            </w:pPr>
            <w:r>
              <w:rPr>
                <w:sz w:val="22"/>
                <w:szCs w:val="22"/>
              </w:rPr>
              <w:t>8</w:t>
            </w:r>
          </w:p>
        </w:tc>
        <w:tc>
          <w:tcPr>
            <w:tcW w:w="799" w:type="dxa"/>
          </w:tcPr>
          <w:p w:rsidR="00DA1C8E" w:rsidRPr="00DA1C8E" w:rsidRDefault="002C4BB5" w:rsidP="00DA1C8E">
            <w:pPr>
              <w:pStyle w:val="Rquotation"/>
              <w:tabs>
                <w:tab w:val="decimal" w:pos="459"/>
              </w:tabs>
              <w:spacing w:before="60" w:after="60"/>
              <w:ind w:left="0"/>
              <w:rPr>
                <w:sz w:val="22"/>
                <w:szCs w:val="22"/>
              </w:rPr>
            </w:pPr>
            <w:r>
              <w:rPr>
                <w:sz w:val="22"/>
                <w:szCs w:val="22"/>
              </w:rPr>
              <w:t>10</w:t>
            </w:r>
          </w:p>
        </w:tc>
      </w:tr>
      <w:tr w:rsidR="0045248C" w:rsidTr="00DA1C8E">
        <w:tc>
          <w:tcPr>
            <w:tcW w:w="4957" w:type="dxa"/>
          </w:tcPr>
          <w:p w:rsidR="00DA1C8E" w:rsidRPr="00DA1C8E" w:rsidRDefault="002C4BB5" w:rsidP="00DA1C8E">
            <w:pPr>
              <w:pStyle w:val="Rquotation"/>
              <w:spacing w:before="60" w:after="60"/>
              <w:ind w:left="0"/>
              <w:rPr>
                <w:sz w:val="22"/>
                <w:szCs w:val="22"/>
              </w:rPr>
            </w:pPr>
            <w:r>
              <w:rPr>
                <w:sz w:val="22"/>
                <w:szCs w:val="22"/>
              </w:rPr>
              <w:t>Awaiting response re status</w:t>
            </w:r>
          </w:p>
        </w:tc>
        <w:tc>
          <w:tcPr>
            <w:tcW w:w="850" w:type="dxa"/>
          </w:tcPr>
          <w:p w:rsidR="00DA1C8E" w:rsidRPr="00DA1C8E" w:rsidRDefault="002C4BB5" w:rsidP="00DA1C8E">
            <w:pPr>
              <w:pStyle w:val="Rquotation"/>
              <w:tabs>
                <w:tab w:val="decimal" w:pos="459"/>
              </w:tabs>
              <w:spacing w:before="60" w:after="60"/>
              <w:ind w:left="0"/>
              <w:rPr>
                <w:sz w:val="22"/>
                <w:szCs w:val="22"/>
              </w:rPr>
            </w:pPr>
            <w:r>
              <w:rPr>
                <w:sz w:val="22"/>
                <w:szCs w:val="22"/>
              </w:rPr>
              <w:t>70</w:t>
            </w:r>
          </w:p>
        </w:tc>
        <w:tc>
          <w:tcPr>
            <w:tcW w:w="702" w:type="dxa"/>
          </w:tcPr>
          <w:p w:rsidR="00DA1C8E" w:rsidRPr="00DA1C8E" w:rsidRDefault="002C4BB5" w:rsidP="00DA1C8E">
            <w:pPr>
              <w:pStyle w:val="Rquotation"/>
              <w:tabs>
                <w:tab w:val="decimal" w:pos="459"/>
              </w:tabs>
              <w:spacing w:before="60" w:after="60"/>
              <w:ind w:left="0"/>
              <w:rPr>
                <w:sz w:val="22"/>
                <w:szCs w:val="22"/>
              </w:rPr>
            </w:pPr>
            <w:r>
              <w:rPr>
                <w:sz w:val="22"/>
                <w:szCs w:val="22"/>
              </w:rPr>
              <w:t>7</w:t>
            </w:r>
          </w:p>
        </w:tc>
        <w:tc>
          <w:tcPr>
            <w:tcW w:w="1141" w:type="dxa"/>
          </w:tcPr>
          <w:p w:rsidR="00DA1C8E" w:rsidRPr="00DA1C8E" w:rsidRDefault="002C4BB5" w:rsidP="00DA1C8E">
            <w:pPr>
              <w:pStyle w:val="Rquotation"/>
              <w:tabs>
                <w:tab w:val="decimal" w:pos="749"/>
              </w:tabs>
              <w:spacing w:before="60" w:after="60"/>
              <w:ind w:left="0"/>
              <w:rPr>
                <w:sz w:val="22"/>
                <w:szCs w:val="22"/>
              </w:rPr>
            </w:pPr>
            <w:r>
              <w:rPr>
                <w:sz w:val="22"/>
                <w:szCs w:val="22"/>
              </w:rPr>
              <w:t>34</w:t>
            </w:r>
          </w:p>
        </w:tc>
        <w:tc>
          <w:tcPr>
            <w:tcW w:w="799" w:type="dxa"/>
          </w:tcPr>
          <w:p w:rsidR="00DA1C8E" w:rsidRPr="00DA1C8E" w:rsidRDefault="002C4BB5" w:rsidP="00DA1C8E">
            <w:pPr>
              <w:pStyle w:val="Rquotation"/>
              <w:tabs>
                <w:tab w:val="decimal" w:pos="459"/>
              </w:tabs>
              <w:spacing w:before="60" w:after="60"/>
              <w:ind w:left="0"/>
              <w:rPr>
                <w:sz w:val="22"/>
                <w:szCs w:val="22"/>
              </w:rPr>
            </w:pPr>
            <w:r>
              <w:rPr>
                <w:sz w:val="22"/>
                <w:szCs w:val="22"/>
              </w:rPr>
              <w:t>29</w:t>
            </w:r>
          </w:p>
        </w:tc>
      </w:tr>
      <w:tr w:rsidR="0045248C" w:rsidTr="00DA1C8E">
        <w:tc>
          <w:tcPr>
            <w:tcW w:w="4957" w:type="dxa"/>
          </w:tcPr>
          <w:p w:rsidR="00DA1C8E" w:rsidRPr="00DA1C8E" w:rsidRDefault="002C4BB5" w:rsidP="00DA1C8E">
            <w:pPr>
              <w:pStyle w:val="Rquotation"/>
              <w:spacing w:before="60" w:after="60"/>
              <w:ind w:left="0"/>
              <w:rPr>
                <w:b/>
                <w:sz w:val="22"/>
              </w:rPr>
            </w:pPr>
            <w:r w:rsidRPr="00DA1C8E">
              <w:rPr>
                <w:b/>
                <w:sz w:val="22"/>
              </w:rPr>
              <w:t>Total</w:t>
            </w:r>
          </w:p>
        </w:tc>
        <w:tc>
          <w:tcPr>
            <w:tcW w:w="850" w:type="dxa"/>
          </w:tcPr>
          <w:p w:rsidR="00DA1C8E" w:rsidRPr="00DA1C8E" w:rsidRDefault="002C4BB5" w:rsidP="00DA1C8E">
            <w:pPr>
              <w:pStyle w:val="Rquotation"/>
              <w:tabs>
                <w:tab w:val="decimal" w:pos="459"/>
              </w:tabs>
              <w:spacing w:before="60" w:after="60"/>
              <w:ind w:left="0"/>
              <w:rPr>
                <w:sz w:val="22"/>
              </w:rPr>
            </w:pPr>
            <w:r>
              <w:rPr>
                <w:sz w:val="22"/>
              </w:rPr>
              <w:t>227</w:t>
            </w:r>
          </w:p>
        </w:tc>
        <w:tc>
          <w:tcPr>
            <w:tcW w:w="702" w:type="dxa"/>
          </w:tcPr>
          <w:p w:rsidR="00DA1C8E" w:rsidRPr="00DA1C8E" w:rsidRDefault="002C4BB5" w:rsidP="00DA1C8E">
            <w:pPr>
              <w:pStyle w:val="Rquotation"/>
              <w:tabs>
                <w:tab w:val="decimal" w:pos="459"/>
              </w:tabs>
              <w:spacing w:before="60" w:after="60"/>
              <w:ind w:left="0"/>
              <w:rPr>
                <w:sz w:val="22"/>
              </w:rPr>
            </w:pPr>
            <w:r>
              <w:rPr>
                <w:sz w:val="22"/>
              </w:rPr>
              <w:t>22</w:t>
            </w:r>
          </w:p>
        </w:tc>
        <w:tc>
          <w:tcPr>
            <w:tcW w:w="1141" w:type="dxa"/>
          </w:tcPr>
          <w:p w:rsidR="00DA1C8E" w:rsidRPr="00DA1C8E" w:rsidRDefault="002C4BB5" w:rsidP="00DA1C8E">
            <w:pPr>
              <w:pStyle w:val="Rquotation"/>
              <w:tabs>
                <w:tab w:val="decimal" w:pos="749"/>
              </w:tabs>
              <w:spacing w:before="60" w:after="60"/>
              <w:ind w:left="0"/>
              <w:rPr>
                <w:sz w:val="22"/>
              </w:rPr>
            </w:pPr>
            <w:r>
              <w:rPr>
                <w:sz w:val="22"/>
              </w:rPr>
              <w:t>109</w:t>
            </w:r>
          </w:p>
        </w:tc>
        <w:tc>
          <w:tcPr>
            <w:tcW w:w="799" w:type="dxa"/>
          </w:tcPr>
          <w:p w:rsidR="00DA1C8E" w:rsidRPr="00DA1C8E" w:rsidRDefault="002C4BB5" w:rsidP="00DA1C8E">
            <w:pPr>
              <w:pStyle w:val="Rquotation"/>
              <w:tabs>
                <w:tab w:val="decimal" w:pos="459"/>
              </w:tabs>
              <w:spacing w:before="60" w:after="60"/>
              <w:ind w:left="0"/>
              <w:rPr>
                <w:sz w:val="22"/>
              </w:rPr>
            </w:pPr>
            <w:r>
              <w:rPr>
                <w:sz w:val="22"/>
              </w:rPr>
              <w:t>96</w:t>
            </w:r>
          </w:p>
        </w:tc>
      </w:tr>
    </w:tbl>
    <w:p w:rsidR="000313DC" w:rsidRDefault="002C4BB5" w:rsidP="00C115E4">
      <w:pPr>
        <w:pStyle w:val="Rparagraph"/>
        <w:jc w:val="both"/>
      </w:pPr>
      <w:r>
        <w:t>Work will continue to develop this process and the data obtained, ensuring that managers are aware that a status report will be required every quarter. Updates will be provided to future meetings of the committee and it is intended that this indicator will be provided at the end of every quarter throughout the year.</w:t>
      </w:r>
    </w:p>
    <w:p w:rsidR="000313DC" w:rsidRPr="00EC3827" w:rsidRDefault="002C4BB5" w:rsidP="00C115E4">
      <w:pPr>
        <w:pStyle w:val="Rparagraph"/>
        <w:jc w:val="both"/>
      </w:pPr>
      <w:r>
        <w:t xml:space="preserve">Since managers will now be held more closely to account for completion of the actions to address unmitigated risks to their service's objectives, at a time when their capacity to operate any additional controls is reducing, they are likely to be more discriminating about what action they agree to take and their deadlines for completion. It is also increasingly likely that any unmitigated risks are accepted and the council's risk appetite increases. This is a valid response but one that, ultimately, both the committee and CCPI will be interested to understand. A further performance indicator will therefore be reported: the </w:t>
      </w:r>
      <w:r w:rsidRPr="00EC3827">
        <w:rPr>
          <w:rFonts w:cs="Arial"/>
          <w:szCs w:val="24"/>
        </w:rPr>
        <w:t>'</w:t>
      </w:r>
      <w:r>
        <w:rPr>
          <w:rFonts w:cs="Arial"/>
          <w:szCs w:val="24"/>
        </w:rPr>
        <w:t>n</w:t>
      </w:r>
      <w:r w:rsidRPr="00EC3827">
        <w:rPr>
          <w:rFonts w:cs="Arial"/>
          <w:szCs w:val="24"/>
        </w:rPr>
        <w:t>umber of risks</w:t>
      </w:r>
      <w:r>
        <w:rPr>
          <w:rFonts w:cs="Arial"/>
          <w:szCs w:val="24"/>
        </w:rPr>
        <w:t xml:space="preserve"> accepted</w:t>
      </w:r>
      <w:r w:rsidRPr="00EC3827">
        <w:rPr>
          <w:rFonts w:cs="Arial"/>
          <w:szCs w:val="24"/>
        </w:rPr>
        <w:t>'.</w:t>
      </w:r>
    </w:p>
    <w:p w:rsidR="00EC3827" w:rsidRPr="00C115E4" w:rsidRDefault="002C4BB5" w:rsidP="00C115E4">
      <w:pPr>
        <w:pStyle w:val="Rparagraph"/>
        <w:jc w:val="both"/>
      </w:pPr>
      <w:r>
        <w:rPr>
          <w:rFonts w:cs="Arial"/>
          <w:szCs w:val="24"/>
        </w:rPr>
        <w:t>This indicator will be further developed but, at this point</w:t>
      </w:r>
      <w:r w:rsidRPr="003843D5">
        <w:rPr>
          <w:rFonts w:cs="Arial"/>
          <w:szCs w:val="24"/>
        </w:rPr>
        <w:t xml:space="preserve">, two </w:t>
      </w:r>
      <w:r>
        <w:rPr>
          <w:rFonts w:cs="Arial"/>
          <w:szCs w:val="24"/>
        </w:rPr>
        <w:t xml:space="preserve">risks assessed as being of 'medium' impact to the services involved have been identified as acceptably unmitigated. These relate to the confirmation of transport providers' licenses and insurance, and the use of the corporate contract for agency staff in Children's Services. </w:t>
      </w:r>
    </w:p>
    <w:p w:rsidR="00C115E4" w:rsidRDefault="00C115E4" w:rsidP="00C115E4">
      <w:pPr>
        <w:pStyle w:val="Rparagraph"/>
        <w:numPr>
          <w:ilvl w:val="0"/>
          <w:numId w:val="0"/>
        </w:numPr>
        <w:ind w:left="567"/>
        <w:jc w:val="both"/>
        <w:rPr>
          <w:rFonts w:cs="Arial"/>
          <w:szCs w:val="24"/>
        </w:rPr>
      </w:pPr>
    </w:p>
    <w:p w:rsidR="00C115E4" w:rsidRPr="00703CA3" w:rsidRDefault="00C115E4" w:rsidP="00C115E4">
      <w:pPr>
        <w:pStyle w:val="Rparagraph"/>
        <w:numPr>
          <w:ilvl w:val="0"/>
          <w:numId w:val="0"/>
        </w:numPr>
        <w:ind w:left="567"/>
        <w:jc w:val="both"/>
      </w:pPr>
    </w:p>
    <w:p w:rsidR="00124A55" w:rsidRDefault="002C4BB5" w:rsidP="00124A55">
      <w:pPr>
        <w:pStyle w:val="Rheading"/>
      </w:pPr>
      <w:r>
        <w:t>Audit work for 2018/19</w:t>
      </w:r>
    </w:p>
    <w:p w:rsidR="00A23158" w:rsidRDefault="002C4BB5" w:rsidP="00C115E4">
      <w:pPr>
        <w:pStyle w:val="Rparagraph"/>
        <w:jc w:val="both"/>
      </w:pPr>
      <w:r>
        <w:t>Work has begun on a number of audits, but only one has reached a point at which our findings may be reported. We have completed work on a sample of schools' self-assessments submitted to the council under the Schools Financial Value Standard and have provided moderate assurance under the revised categorisation of assurance we have adopted for 2018/19. An explanation of the assurance provided in both 2017/18 and 2018/19 is pr</w:t>
      </w:r>
      <w:bookmarkStart w:id="0" w:name="_GoBack"/>
      <w:bookmarkEnd w:id="0"/>
      <w:r>
        <w:t>ovided in annex 3.</w:t>
      </w:r>
    </w:p>
    <w:sectPr w:rsidR="00A23158" w:rsidSect="00451FB1">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AF" w:rsidRDefault="002C4BB5">
      <w:pPr>
        <w:spacing w:after="0" w:line="240" w:lineRule="auto"/>
      </w:pPr>
      <w:r>
        <w:separator/>
      </w:r>
    </w:p>
  </w:endnote>
  <w:endnote w:type="continuationSeparator" w:id="0">
    <w:p w:rsidR="00A630AF" w:rsidRDefault="002C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AF" w:rsidRDefault="002C4BB5">
      <w:pPr>
        <w:spacing w:after="0" w:line="240" w:lineRule="auto"/>
      </w:pPr>
      <w:r>
        <w:separator/>
      </w:r>
    </w:p>
  </w:footnote>
  <w:footnote w:type="continuationSeparator" w:id="0">
    <w:p w:rsidR="00A630AF" w:rsidRDefault="002C4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B1" w:rsidRPr="00451FB1" w:rsidRDefault="00C115E4" w:rsidP="00451FB1">
    <w:pPr>
      <w:pStyle w:val="Header"/>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770A3958">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4A96BA5C" w:tentative="1">
      <w:start w:val="1"/>
      <w:numFmt w:val="lowerLetter"/>
      <w:lvlText w:val="%2."/>
      <w:lvlJc w:val="left"/>
      <w:pPr>
        <w:ind w:left="1440" w:hanging="360"/>
      </w:pPr>
    </w:lvl>
    <w:lvl w:ilvl="2" w:tplc="1512AD1E" w:tentative="1">
      <w:start w:val="1"/>
      <w:numFmt w:val="lowerRoman"/>
      <w:lvlText w:val="%3."/>
      <w:lvlJc w:val="right"/>
      <w:pPr>
        <w:ind w:left="2160" w:hanging="180"/>
      </w:pPr>
    </w:lvl>
    <w:lvl w:ilvl="3" w:tplc="C7F6CCE0" w:tentative="1">
      <w:start w:val="1"/>
      <w:numFmt w:val="decimal"/>
      <w:lvlText w:val="%4."/>
      <w:lvlJc w:val="left"/>
      <w:pPr>
        <w:ind w:left="2880" w:hanging="360"/>
      </w:pPr>
    </w:lvl>
    <w:lvl w:ilvl="4" w:tplc="2DE2AA6E" w:tentative="1">
      <w:start w:val="1"/>
      <w:numFmt w:val="lowerLetter"/>
      <w:lvlText w:val="%5."/>
      <w:lvlJc w:val="left"/>
      <w:pPr>
        <w:ind w:left="3600" w:hanging="360"/>
      </w:pPr>
    </w:lvl>
    <w:lvl w:ilvl="5" w:tplc="EF44B3DA" w:tentative="1">
      <w:start w:val="1"/>
      <w:numFmt w:val="lowerRoman"/>
      <w:lvlText w:val="%6."/>
      <w:lvlJc w:val="right"/>
      <w:pPr>
        <w:ind w:left="4320" w:hanging="180"/>
      </w:pPr>
    </w:lvl>
    <w:lvl w:ilvl="6" w:tplc="55529D44" w:tentative="1">
      <w:start w:val="1"/>
      <w:numFmt w:val="decimal"/>
      <w:lvlText w:val="%7."/>
      <w:lvlJc w:val="left"/>
      <w:pPr>
        <w:ind w:left="5040" w:hanging="360"/>
      </w:pPr>
    </w:lvl>
    <w:lvl w:ilvl="7" w:tplc="BBC03A72" w:tentative="1">
      <w:start w:val="1"/>
      <w:numFmt w:val="lowerLetter"/>
      <w:lvlText w:val="%8."/>
      <w:lvlJc w:val="left"/>
      <w:pPr>
        <w:ind w:left="5760" w:hanging="360"/>
      </w:pPr>
    </w:lvl>
    <w:lvl w:ilvl="8" w:tplc="B768BBE6"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7C75BDA"/>
    <w:multiLevelType w:val="hybridMultilevel"/>
    <w:tmpl w:val="27E6247C"/>
    <w:lvl w:ilvl="0" w:tplc="389E80BC">
      <w:start w:val="1"/>
      <w:numFmt w:val="bullet"/>
      <w:pStyle w:val="Rbullet"/>
      <w:lvlText w:val=""/>
      <w:lvlJc w:val="left"/>
      <w:pPr>
        <w:ind w:left="1440" w:hanging="360"/>
      </w:pPr>
      <w:rPr>
        <w:rFonts w:ascii="Symbol" w:hAnsi="Symbol" w:hint="default"/>
      </w:rPr>
    </w:lvl>
    <w:lvl w:ilvl="1" w:tplc="4AFC0ACC" w:tentative="1">
      <w:start w:val="1"/>
      <w:numFmt w:val="bullet"/>
      <w:lvlText w:val="o"/>
      <w:lvlJc w:val="left"/>
      <w:pPr>
        <w:ind w:left="2160" w:hanging="360"/>
      </w:pPr>
      <w:rPr>
        <w:rFonts w:ascii="Courier New" w:hAnsi="Courier New" w:cs="Courier New" w:hint="default"/>
      </w:rPr>
    </w:lvl>
    <w:lvl w:ilvl="2" w:tplc="AF783B74" w:tentative="1">
      <w:start w:val="1"/>
      <w:numFmt w:val="bullet"/>
      <w:lvlText w:val=""/>
      <w:lvlJc w:val="left"/>
      <w:pPr>
        <w:ind w:left="2880" w:hanging="360"/>
      </w:pPr>
      <w:rPr>
        <w:rFonts w:ascii="Wingdings" w:hAnsi="Wingdings" w:hint="default"/>
      </w:rPr>
    </w:lvl>
    <w:lvl w:ilvl="3" w:tplc="53682642" w:tentative="1">
      <w:start w:val="1"/>
      <w:numFmt w:val="bullet"/>
      <w:lvlText w:val=""/>
      <w:lvlJc w:val="left"/>
      <w:pPr>
        <w:ind w:left="3600" w:hanging="360"/>
      </w:pPr>
      <w:rPr>
        <w:rFonts w:ascii="Symbol" w:hAnsi="Symbol" w:hint="default"/>
      </w:rPr>
    </w:lvl>
    <w:lvl w:ilvl="4" w:tplc="0CCEBEE8" w:tentative="1">
      <w:start w:val="1"/>
      <w:numFmt w:val="bullet"/>
      <w:lvlText w:val="o"/>
      <w:lvlJc w:val="left"/>
      <w:pPr>
        <w:ind w:left="4320" w:hanging="360"/>
      </w:pPr>
      <w:rPr>
        <w:rFonts w:ascii="Courier New" w:hAnsi="Courier New" w:cs="Courier New" w:hint="default"/>
      </w:rPr>
    </w:lvl>
    <w:lvl w:ilvl="5" w:tplc="6FFED646" w:tentative="1">
      <w:start w:val="1"/>
      <w:numFmt w:val="bullet"/>
      <w:lvlText w:val=""/>
      <w:lvlJc w:val="left"/>
      <w:pPr>
        <w:ind w:left="5040" w:hanging="360"/>
      </w:pPr>
      <w:rPr>
        <w:rFonts w:ascii="Wingdings" w:hAnsi="Wingdings" w:hint="default"/>
      </w:rPr>
    </w:lvl>
    <w:lvl w:ilvl="6" w:tplc="B8669178" w:tentative="1">
      <w:start w:val="1"/>
      <w:numFmt w:val="bullet"/>
      <w:lvlText w:val=""/>
      <w:lvlJc w:val="left"/>
      <w:pPr>
        <w:ind w:left="5760" w:hanging="360"/>
      </w:pPr>
      <w:rPr>
        <w:rFonts w:ascii="Symbol" w:hAnsi="Symbol" w:hint="default"/>
      </w:rPr>
    </w:lvl>
    <w:lvl w:ilvl="7" w:tplc="1BE6C23A" w:tentative="1">
      <w:start w:val="1"/>
      <w:numFmt w:val="bullet"/>
      <w:lvlText w:val="o"/>
      <w:lvlJc w:val="left"/>
      <w:pPr>
        <w:ind w:left="6480" w:hanging="360"/>
      </w:pPr>
      <w:rPr>
        <w:rFonts w:ascii="Courier New" w:hAnsi="Courier New" w:cs="Courier New" w:hint="default"/>
      </w:rPr>
    </w:lvl>
    <w:lvl w:ilvl="8" w:tplc="E58A5A0A" w:tentative="1">
      <w:start w:val="1"/>
      <w:numFmt w:val="bullet"/>
      <w:lvlText w:val=""/>
      <w:lvlJc w:val="left"/>
      <w:pPr>
        <w:ind w:left="7200" w:hanging="360"/>
      </w:pPr>
      <w:rPr>
        <w:rFonts w:ascii="Wingdings" w:hAnsi="Wingdings" w:hint="default"/>
      </w:rPr>
    </w:lvl>
  </w:abstractNum>
  <w:abstractNum w:abstractNumId="13"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4"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69536897"/>
    <w:multiLevelType w:val="multilevel"/>
    <w:tmpl w:val="E05235B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7"/>
  </w:num>
  <w:num w:numId="15">
    <w:abstractNumId w:val="12"/>
  </w:num>
  <w:num w:numId="16">
    <w:abstractNumId w:val="15"/>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7"/>
  </w:num>
  <w:num w:numId="19">
    <w:abstractNumId w:val="17"/>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8C"/>
    <w:rsid w:val="002C4BB5"/>
    <w:rsid w:val="0045248C"/>
    <w:rsid w:val="00971558"/>
    <w:rsid w:val="00A630AF"/>
    <w:rsid w:val="00C115E4"/>
    <w:rsid w:val="00CB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6A9A9-E3B4-4199-811B-75738F4C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2C9"/>
  </w:style>
  <w:style w:type="paragraph" w:styleId="Heading1">
    <w:name w:val="heading 1"/>
    <w:basedOn w:val="Normal"/>
    <w:next w:val="Normal"/>
    <w:link w:val="Heading1Char"/>
    <w:uiPriority w:val="9"/>
    <w:rsid w:val="00F02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866838"/>
    <w:pPr>
      <w:numPr>
        <w:ilvl w:val="0"/>
        <w:numId w:val="0"/>
      </w:numPr>
    </w:pPr>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866838"/>
    <w:rPr>
      <w:rFonts w:ascii="Arial" w:eastAsiaTheme="minorEastAsia" w:hAnsi="Arial"/>
      <w:sz w:val="24"/>
    </w:rPr>
  </w:style>
  <w:style w:type="paragraph" w:customStyle="1" w:styleId="Rbullet">
    <w:name w:val="R bullet"/>
    <w:basedOn w:val="Rnumberedparagraph"/>
    <w:link w:val="RbulletChar"/>
    <w:autoRedefine/>
    <w:qFormat/>
    <w:rsid w:val="00291B97"/>
    <w:pPr>
      <w:numPr>
        <w:numId w:val="15"/>
      </w:numPr>
      <w:ind w:left="1134" w:hanging="283"/>
    </w:pPr>
  </w:style>
  <w:style w:type="paragraph" w:customStyle="1" w:styleId="Rblankparagraph">
    <w:name w:val="R blank paragraph"/>
    <w:basedOn w:val="Rnumberedparagraph"/>
    <w:link w:val="RblankparagraphChar"/>
    <w:autoRedefine/>
    <w:qFormat/>
    <w:rsid w:val="000D1344"/>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17397E"/>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17397E"/>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30A41"/>
    <w:pPr>
      <w:numPr>
        <w:ilvl w:val="0"/>
        <w:numId w:val="0"/>
      </w:numPr>
      <w:ind w:left="567"/>
    </w:pPr>
    <w:rPr>
      <w:b/>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Char">
    <w:name w:val="R sub-heading Char"/>
    <w:basedOn w:val="RparagraphChar"/>
    <w:link w:val="R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45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B1"/>
  </w:style>
  <w:style w:type="paragraph" w:styleId="Footer">
    <w:name w:val="footer"/>
    <w:basedOn w:val="Normal"/>
    <w:link w:val="FooterChar"/>
    <w:uiPriority w:val="99"/>
    <w:unhideWhenUsed/>
    <w:rsid w:val="0045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B1"/>
  </w:style>
  <w:style w:type="table" w:styleId="TableGrid">
    <w:name w:val="Table Grid"/>
    <w:basedOn w:val="TableNormal"/>
    <w:rsid w:val="00887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F7E27"/>
    <w:pPr>
      <w:spacing w:before="60" w:after="6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F7E27"/>
    <w:rPr>
      <w:rFonts w:ascii="Tahoma" w:eastAsia="Times New Roman" w:hAnsi="Tahoma" w:cs="Tahoma"/>
      <w:sz w:val="16"/>
      <w:szCs w:val="16"/>
      <w:lang w:eastAsia="en-GB"/>
    </w:rPr>
  </w:style>
  <w:style w:type="paragraph" w:customStyle="1" w:styleId="Ruthsbulletpoint">
    <w:name w:val="Ruth's bullet point"/>
    <w:basedOn w:val="Normal"/>
    <w:uiPriority w:val="99"/>
    <w:rsid w:val="000F7E27"/>
    <w:pPr>
      <w:numPr>
        <w:ilvl w:val="1"/>
        <w:numId w:val="22"/>
      </w:numPr>
      <w:spacing w:before="120" w:after="120" w:line="240" w:lineRule="auto"/>
      <w:contextualSpacing/>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1951CC"/>
    <w:rPr>
      <w:sz w:val="16"/>
      <w:szCs w:val="16"/>
    </w:rPr>
  </w:style>
  <w:style w:type="paragraph" w:styleId="CommentText">
    <w:name w:val="annotation text"/>
    <w:basedOn w:val="Normal"/>
    <w:link w:val="CommentTextChar"/>
    <w:uiPriority w:val="99"/>
    <w:semiHidden/>
    <w:unhideWhenUsed/>
    <w:rsid w:val="001951CC"/>
    <w:pPr>
      <w:spacing w:line="240" w:lineRule="auto"/>
    </w:pPr>
    <w:rPr>
      <w:sz w:val="20"/>
      <w:szCs w:val="20"/>
    </w:rPr>
  </w:style>
  <w:style w:type="character" w:customStyle="1" w:styleId="CommentTextChar">
    <w:name w:val="Comment Text Char"/>
    <w:basedOn w:val="DefaultParagraphFont"/>
    <w:link w:val="CommentText"/>
    <w:uiPriority w:val="99"/>
    <w:semiHidden/>
    <w:rsid w:val="001951CC"/>
    <w:rPr>
      <w:sz w:val="20"/>
      <w:szCs w:val="20"/>
    </w:rPr>
  </w:style>
  <w:style w:type="paragraph" w:styleId="CommentSubject">
    <w:name w:val="annotation subject"/>
    <w:basedOn w:val="CommentText"/>
    <w:next w:val="CommentText"/>
    <w:link w:val="CommentSubjectChar"/>
    <w:uiPriority w:val="99"/>
    <w:semiHidden/>
    <w:unhideWhenUsed/>
    <w:rsid w:val="001951CC"/>
    <w:rPr>
      <w:b/>
      <w:bCs/>
    </w:rPr>
  </w:style>
  <w:style w:type="character" w:customStyle="1" w:styleId="CommentSubjectChar">
    <w:name w:val="Comment Subject Char"/>
    <w:basedOn w:val="CommentTextChar"/>
    <w:link w:val="CommentSubject"/>
    <w:uiPriority w:val="99"/>
    <w:semiHidden/>
    <w:rsid w:val="00195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38</cp:revision>
  <dcterms:created xsi:type="dcterms:W3CDTF">2018-07-09T08:09:00Z</dcterms:created>
  <dcterms:modified xsi:type="dcterms:W3CDTF">2018-07-17T08:03:00Z</dcterms:modified>
</cp:coreProperties>
</file>